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D3C7" w14:textId="77777777" w:rsidR="002C5A61" w:rsidRDefault="00EC56D9">
      <w:pPr>
        <w:pStyle w:val="Plattetekst"/>
        <w:ind w:left="130"/>
        <w:rPr>
          <w:rFonts w:ascii="Times New Roman"/>
          <w:sz w:val="20"/>
        </w:rPr>
      </w:pPr>
      <w:r>
        <w:rPr>
          <w:rFonts w:ascii="Times New Roman"/>
          <w:noProof/>
          <w:sz w:val="20"/>
        </w:rPr>
        <w:drawing>
          <wp:inline distT="0" distB="0" distL="0" distR="0" wp14:anchorId="7609D462" wp14:editId="3863B996">
            <wp:extent cx="545702" cy="630078"/>
            <wp:effectExtent l="0" t="0" r="0" b="0"/>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545702" cy="630078"/>
                    </a:xfrm>
                    <a:prstGeom prst="rect">
                      <a:avLst/>
                    </a:prstGeom>
                  </pic:spPr>
                </pic:pic>
              </a:graphicData>
            </a:graphic>
          </wp:inline>
        </w:drawing>
      </w:r>
    </w:p>
    <w:p w14:paraId="7609D3C8" w14:textId="77777777" w:rsidR="002C5A61" w:rsidRDefault="002C5A61">
      <w:pPr>
        <w:pStyle w:val="Plattetekst"/>
        <w:rPr>
          <w:rFonts w:ascii="Times New Roman"/>
          <w:sz w:val="20"/>
        </w:rPr>
      </w:pPr>
    </w:p>
    <w:p w14:paraId="7609D3C9" w14:textId="77777777" w:rsidR="002C5A61" w:rsidRDefault="002C5A61">
      <w:pPr>
        <w:pStyle w:val="Plattetekst"/>
        <w:rPr>
          <w:rFonts w:ascii="Times New Roman"/>
          <w:sz w:val="20"/>
        </w:rPr>
      </w:pPr>
    </w:p>
    <w:p w14:paraId="7609D3CA" w14:textId="77777777" w:rsidR="002C5A61" w:rsidRDefault="00EC56D9">
      <w:pPr>
        <w:spacing w:before="197" w:line="259" w:lineRule="auto"/>
        <w:ind w:left="216" w:right="983"/>
        <w:rPr>
          <w:rFonts w:ascii="Calibri Light"/>
          <w:sz w:val="32"/>
        </w:rPr>
      </w:pPr>
      <w:r>
        <w:rPr>
          <w:rFonts w:ascii="Calibri Light"/>
          <w:color w:val="2E5395"/>
          <w:sz w:val="32"/>
        </w:rPr>
        <w:t>Verslag van activiteiten in het kader van het project Labs2Meet, biomonitoring fieldlab in Holland Rijnland in 2018.</w:t>
      </w:r>
    </w:p>
    <w:p w14:paraId="7609D3CB" w14:textId="77777777" w:rsidR="002C5A61" w:rsidRDefault="002C5A61">
      <w:pPr>
        <w:pStyle w:val="Plattetekst"/>
        <w:spacing w:before="9"/>
        <w:rPr>
          <w:rFonts w:ascii="Calibri Light"/>
          <w:sz w:val="36"/>
        </w:rPr>
      </w:pPr>
    </w:p>
    <w:p w14:paraId="7609D3CC" w14:textId="77777777" w:rsidR="002C5A61" w:rsidRDefault="00EC56D9">
      <w:pPr>
        <w:pStyle w:val="Kop1"/>
      </w:pPr>
      <w:r>
        <w:t>Inleiding</w:t>
      </w:r>
    </w:p>
    <w:p w14:paraId="7609D3CD" w14:textId="77777777" w:rsidR="002C5A61" w:rsidRDefault="00EC56D9">
      <w:pPr>
        <w:pStyle w:val="Plattetekst"/>
        <w:spacing w:before="181" w:line="259" w:lineRule="auto"/>
        <w:ind w:left="216" w:right="160"/>
      </w:pPr>
      <w:r>
        <w:t>Om de activiteiten van haar Centre of Expertise Generade beter in te bedden, alsmede om de samenwerking met en tussen de lectoraten</w:t>
      </w:r>
      <w:r>
        <w:rPr>
          <w:vertAlign w:val="superscript"/>
        </w:rPr>
        <w:t>1</w:t>
      </w:r>
      <w:r>
        <w:t xml:space="preserve"> van de faculteit Science &amp; Technology te verbeteren is in 2017 door Hogeschool Leiden een halve etage gehuurd in het SL-pla</w:t>
      </w:r>
      <w:r>
        <w:t>za gebouw (Darwinweg 24, 2333 CR Leiden). In deze ruimte op de derde etage is een labfaciliteit ingericht waar de onderzoeksactiviteiten van de lectoraten plaatsvinden. In 2017 is door Generade mede namens de Hogeschool Leiden en het MBO Rijnland een aanvr</w:t>
      </w:r>
      <w:r>
        <w:t>aag gedaan voor een bijdrage van het cofinancieringsfonds van Holland Rijnland ter ondersteuning van de activiteiten in de opstartfase van het fieldlab onder de titel: Labs2Meet, biomonitoring fieldlab in Holland Rijnland. De aanvraag is positief beoordeel</w:t>
      </w:r>
      <w:r>
        <w:t>d en heeft een bijdrage ontvangen van €100.000,- voor de periode 1 januari 2018 tot en met 31 december 2019. In deze rapportage wordt verslag gedaan van de activiteiten in het kader van Labs2Meet in de eerste 10</w:t>
      </w:r>
      <w:r>
        <w:rPr>
          <w:spacing w:val="-11"/>
        </w:rPr>
        <w:t xml:space="preserve"> </w:t>
      </w:r>
      <w:r>
        <w:t>maanden.</w:t>
      </w:r>
    </w:p>
    <w:p w14:paraId="7609D3CE" w14:textId="77777777" w:rsidR="002C5A61" w:rsidRDefault="002C5A61">
      <w:pPr>
        <w:pStyle w:val="Plattetekst"/>
      </w:pPr>
    </w:p>
    <w:p w14:paraId="7609D3CF" w14:textId="77777777" w:rsidR="002C5A61" w:rsidRDefault="002C5A61">
      <w:pPr>
        <w:pStyle w:val="Plattetekst"/>
        <w:spacing w:before="8"/>
        <w:rPr>
          <w:sz w:val="27"/>
        </w:rPr>
      </w:pPr>
    </w:p>
    <w:p w14:paraId="7609D3D0" w14:textId="77777777" w:rsidR="002C5A61" w:rsidRDefault="00EC56D9">
      <w:pPr>
        <w:pStyle w:val="Kop1"/>
      </w:pPr>
      <w:r>
        <w:t>Profilering</w:t>
      </w:r>
    </w:p>
    <w:p w14:paraId="7609D3D1" w14:textId="77777777" w:rsidR="002C5A61" w:rsidRDefault="00EC56D9">
      <w:pPr>
        <w:pStyle w:val="Plattetekst"/>
        <w:spacing w:before="12"/>
        <w:rPr>
          <w:b/>
          <w:sz w:val="11"/>
        </w:rPr>
      </w:pPr>
      <w:r>
        <w:rPr>
          <w:noProof/>
        </w:rPr>
        <w:drawing>
          <wp:inline distT="0" distB="0" distL="0" distR="0" wp14:anchorId="7609D464" wp14:editId="165B1721">
            <wp:extent cx="2225337" cy="950976"/>
            <wp:effectExtent l="0" t="0" r="3810" b="1905"/>
            <wp:docPr id="5" name="image3.jpeg" descr="Logo L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Logo LCAB"/>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337" cy="950976"/>
                    </a:xfrm>
                    <a:prstGeom prst="rect">
                      <a:avLst/>
                    </a:prstGeom>
                  </pic:spPr>
                </pic:pic>
              </a:graphicData>
            </a:graphic>
          </wp:inline>
        </w:drawing>
      </w:r>
    </w:p>
    <w:p w14:paraId="7609D3D2" w14:textId="77777777" w:rsidR="002C5A61" w:rsidRDefault="00EC56D9">
      <w:pPr>
        <w:pStyle w:val="Plattetekst"/>
        <w:spacing w:before="151" w:line="259" w:lineRule="auto"/>
        <w:ind w:left="216" w:right="454"/>
      </w:pPr>
      <w:r>
        <w:t>In 2018 heeft het f</w:t>
      </w:r>
      <w:r>
        <w:t>ieldlab een naamsverandering ondergaan en heet nu Leiden Centre for Applied Bioscience (LCAB).</w:t>
      </w:r>
    </w:p>
    <w:p w14:paraId="7609D3D3" w14:textId="77777777" w:rsidR="002C5A61" w:rsidRDefault="00EC56D9">
      <w:pPr>
        <w:pStyle w:val="Plattetekst"/>
        <w:spacing w:before="160" w:line="259" w:lineRule="auto"/>
        <w:ind w:left="216" w:right="310"/>
      </w:pPr>
      <w:r>
        <w:t>Het LCAB is gericht op het ontwikkelen en verspreiden van nieuwe kennis over het meten en detecteren van biologische indicatoren in mens, dier, plant, voeding en</w:t>
      </w:r>
      <w:r>
        <w:t xml:space="preserve"> omgeving (lucht, water, bodem). Het LCAB ontwikkelt en verspreidt deze nieuwe kennis in nauwe samenwerking met het onderwijs (opleidingen Biologie en Medisch laboratoriumonderzoek, Bioinformatica en Chemie van Hogeschool Leiden en het Middelbaar Laborator</w:t>
      </w:r>
      <w:r>
        <w:t>ium Onderwijs van MBO Rijnland), andere kennisinstellingen en bedrijven (op het BioScience Park in Leiden maar ook ver daarbuiten).</w:t>
      </w:r>
    </w:p>
    <w:p w14:paraId="7609D3D4" w14:textId="77777777" w:rsidR="002C5A61" w:rsidRDefault="00EC56D9">
      <w:pPr>
        <w:pStyle w:val="Plattetekst"/>
        <w:spacing w:before="160" w:line="256" w:lineRule="auto"/>
        <w:ind w:left="216" w:right="190"/>
      </w:pPr>
      <w:r>
        <w:t>Het LCAB ontwikkelt nieuwe meettoepassingen, adviseert hierover (wat kun je überhaupt meten) en duidt/karakteriseert de resu</w:t>
      </w:r>
      <w:r>
        <w:t>ltaten ervan. Het LCAB verricht hiertoe praktijkgericht onderzoek, in een</w:t>
      </w:r>
    </w:p>
    <w:p w14:paraId="7609D3D5" w14:textId="21FEFBB5" w:rsidR="002C5A61" w:rsidRDefault="00EC56D9">
      <w:pPr>
        <w:pStyle w:val="Plattetekst"/>
        <w:spacing w:before="5"/>
        <w:rPr>
          <w:sz w:val="29"/>
        </w:rPr>
      </w:pPr>
      <w:r>
        <w:rPr>
          <w:noProof/>
        </w:rPr>
        <mc:AlternateContent>
          <mc:Choice Requires="wps">
            <w:drawing>
              <wp:anchor distT="0" distB="0" distL="0" distR="0" simplePos="0" relativeHeight="251660288" behindDoc="1" locked="0" layoutInCell="1" allowOverlap="1" wp14:anchorId="7609D466" wp14:editId="494FDD93">
                <wp:simplePos x="0" y="0"/>
                <wp:positionH relativeFrom="page">
                  <wp:posOffset>899160</wp:posOffset>
                </wp:positionH>
                <wp:positionV relativeFrom="paragraph">
                  <wp:posOffset>257810</wp:posOffset>
                </wp:positionV>
                <wp:extent cx="1829435" cy="1270"/>
                <wp:effectExtent l="0" t="0" r="0" b="0"/>
                <wp:wrapTopAndBottom/>
                <wp:docPr id="6"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989E" id="Freeform 2" o:spid="_x0000_s1026" alt="&quot;&quot;" style="position:absolute;margin-left:70.8pt;margin-top:20.3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" path="m,l2881,e" filled="f" strokeweight=".72pt">
                <v:path arrowok="t" o:connecttype="custom" o:connectlocs="0,0;1829435,0" o:connectangles="0,0"/>
                <w10:wrap type="topAndBottom" anchorx="page"/>
              </v:shape>
            </w:pict>
          </mc:Fallback>
        </mc:AlternateContent>
      </w:r>
    </w:p>
    <w:p w14:paraId="7609D3D6" w14:textId="77777777" w:rsidR="002C5A61" w:rsidRDefault="00EC56D9">
      <w:pPr>
        <w:spacing w:before="37" w:line="242" w:lineRule="auto"/>
        <w:ind w:left="216" w:right="330"/>
        <w:rPr>
          <w:sz w:val="16"/>
        </w:rPr>
      </w:pPr>
      <w:r>
        <w:rPr>
          <w:position w:val="10"/>
          <w:sz w:val="13"/>
        </w:rPr>
        <w:t xml:space="preserve">1 </w:t>
      </w:r>
      <w:r>
        <w:rPr>
          <w:sz w:val="16"/>
        </w:rPr>
        <w:t>Onderzoek in het hbo wordt hoofdzakelijk verricht binnen lectoraten. Lectoraten zijn onderzoeksgroepen die bestaan uit lectoren en kenniskringen. Een lector is de expert op een b</w:t>
      </w:r>
      <w:r>
        <w:rPr>
          <w:sz w:val="16"/>
        </w:rPr>
        <w:t>epaald vakgebied van het lectoraat, een kenniskring bestaat uit docent-onderzoekers van verschillende opleidingen, indien gewenst aangevuld met extern deskundigen. Het lectoraat ontwikkelt het kennisdomein, waarmee toepasbare oplossingen en innovaties voor</w:t>
      </w:r>
      <w:r>
        <w:rPr>
          <w:sz w:val="16"/>
        </w:rPr>
        <w:t xml:space="preserve"> het werkveld worden geleverd en het onderwijs up-to-date wordt gehouden. Door het doen van praktijkgericht onderzoek worden verbindingen gelegd tussen onderwijs en de beroepspraktijk, ter verbetering van de kwaliteit van het onderwijs. Studenten spelen ee</w:t>
      </w:r>
      <w:r>
        <w:rPr>
          <w:sz w:val="16"/>
        </w:rPr>
        <w:t>n belangrijke rol bij de uitvoering van de onderzoeksprojecten in de vorm van stages (minorstages, praktijkstages in het 3</w:t>
      </w:r>
      <w:r>
        <w:rPr>
          <w:sz w:val="16"/>
          <w:vertAlign w:val="superscript"/>
        </w:rPr>
        <w:t>de</w:t>
      </w:r>
      <w:r>
        <w:rPr>
          <w:sz w:val="16"/>
        </w:rPr>
        <w:t xml:space="preserve"> studiejaar en afstudeerstages in het 4</w:t>
      </w:r>
      <w:r>
        <w:rPr>
          <w:sz w:val="16"/>
          <w:vertAlign w:val="superscript"/>
        </w:rPr>
        <w:t>de</w:t>
      </w:r>
      <w:r>
        <w:rPr>
          <w:sz w:val="16"/>
        </w:rPr>
        <w:t xml:space="preserve"> studiejaar).</w:t>
      </w:r>
    </w:p>
    <w:p w14:paraId="7609D3D7" w14:textId="77777777" w:rsidR="002C5A61" w:rsidRDefault="002C5A61">
      <w:pPr>
        <w:spacing w:line="242" w:lineRule="auto"/>
        <w:rPr>
          <w:sz w:val="16"/>
        </w:rPr>
        <w:sectPr w:rsidR="002C5A61">
          <w:headerReference w:type="default" r:id="rId9"/>
          <w:footerReference w:type="default" r:id="rId10"/>
          <w:type w:val="continuous"/>
          <w:pgSz w:w="11910" w:h="16840"/>
          <w:pgMar w:top="940" w:right="1300" w:bottom="1000" w:left="1200" w:header="699" w:footer="810" w:gutter="0"/>
          <w:pgNumType w:start="1"/>
          <w:cols w:space="708"/>
        </w:sectPr>
      </w:pPr>
    </w:p>
    <w:p w14:paraId="7609D3D8" w14:textId="77777777" w:rsidR="002C5A61" w:rsidRDefault="002C5A61">
      <w:pPr>
        <w:pStyle w:val="Plattetekst"/>
        <w:rPr>
          <w:sz w:val="20"/>
        </w:rPr>
      </w:pPr>
    </w:p>
    <w:p w14:paraId="7609D3D9" w14:textId="77777777" w:rsidR="002C5A61" w:rsidRDefault="002C5A61">
      <w:pPr>
        <w:pStyle w:val="Plattetekst"/>
        <w:spacing w:before="4"/>
        <w:rPr>
          <w:sz w:val="17"/>
        </w:rPr>
      </w:pPr>
    </w:p>
    <w:p w14:paraId="7609D3DA" w14:textId="77777777" w:rsidR="002C5A61" w:rsidRDefault="00EC56D9">
      <w:pPr>
        <w:pStyle w:val="Plattetekst"/>
        <w:spacing w:line="259" w:lineRule="auto"/>
        <w:ind w:left="216" w:right="170"/>
      </w:pPr>
      <w:r>
        <w:t xml:space="preserve">nauwe wisselwerking met de praktijk, de wetenschap en het onderwijs. De lectoraten zijn de dragers van de belangrijkste inhoudelijke aandachtsgebieden. Het gaat hierbij om de lectoraten: Innovatieve Moleculaire Diagnostiek, Metabolomics, Biodiversiteit en </w:t>
      </w:r>
      <w:r>
        <w:t>Genome Based Health. De lectoraten worden bij de analyses ondersteund door de vakgroep Bioinformatica.</w:t>
      </w:r>
    </w:p>
    <w:p w14:paraId="7609D3DB" w14:textId="77777777" w:rsidR="002C5A61" w:rsidRDefault="002C5A61">
      <w:pPr>
        <w:pStyle w:val="Plattetekst"/>
        <w:rPr>
          <w:sz w:val="20"/>
        </w:rPr>
      </w:pPr>
    </w:p>
    <w:p w14:paraId="7609D3DC" w14:textId="77777777" w:rsidR="002C5A61" w:rsidRDefault="00EC56D9">
      <w:pPr>
        <w:pStyle w:val="Plattetekst"/>
        <w:spacing w:before="1"/>
        <w:rPr>
          <w:sz w:val="27"/>
        </w:rPr>
      </w:pPr>
      <w:r>
        <w:rPr>
          <w:noProof/>
        </w:rPr>
        <w:drawing>
          <wp:inline distT="0" distB="0" distL="0" distR="0" wp14:anchorId="7609D467" wp14:editId="08CD0125">
            <wp:extent cx="5695754" cy="2363724"/>
            <wp:effectExtent l="0" t="0" r="635" b="0"/>
            <wp:docPr id="7" name="image4.png" descr="Plattegrond L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Plattegrond LCAB"/>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5754" cy="2363724"/>
                    </a:xfrm>
                    <a:prstGeom prst="rect">
                      <a:avLst/>
                    </a:prstGeom>
                  </pic:spPr>
                </pic:pic>
              </a:graphicData>
            </a:graphic>
          </wp:inline>
        </w:drawing>
      </w:r>
    </w:p>
    <w:p w14:paraId="7609D3DD" w14:textId="77777777" w:rsidR="002C5A61" w:rsidRDefault="00EC56D9">
      <w:pPr>
        <w:spacing w:before="117"/>
        <w:ind w:left="2584" w:right="2486"/>
        <w:jc w:val="center"/>
      </w:pPr>
      <w:r>
        <w:rPr>
          <w:b/>
        </w:rPr>
        <w:t xml:space="preserve">Figuur 1. </w:t>
      </w:r>
      <w:r>
        <w:t>Plattegrond van het LCAB.</w:t>
      </w:r>
    </w:p>
    <w:p w14:paraId="7609D3DE" w14:textId="77777777" w:rsidR="002C5A61" w:rsidRDefault="00EC56D9">
      <w:pPr>
        <w:pStyle w:val="Plattetekst"/>
        <w:spacing w:before="181" w:line="259" w:lineRule="auto"/>
        <w:ind w:left="216" w:right="119"/>
      </w:pPr>
      <w:r>
        <w:t>Het gemeenschappelijke thema van onderzoek ligt op het raakvlak van biodiversiteit &amp; gezondheid. De toepassingsgeb</w:t>
      </w:r>
      <w:r>
        <w:t>ieden zijn divers. Het gaat om het ontwikkelen van meettoepassingen waarmee de effecten van de biodiversiteit van de omgeving op de gezondheid bij mens, dier en plant kunnen worden gemeten. De meetinstrumenten zijn gebaseerd op geavanceerde Omics-technolog</w:t>
      </w:r>
      <w:r>
        <w:t>ieën: genomics, metagenomics, culturomics, metabolomics en transcriptomics. Bioinformatica speelt een essentiële ondersteunende rol en werkt aan BI componenten uit onderzoeksprojecten van de lectoraten. De toepassing vindt plaats op vraagstukken uit het we</w:t>
      </w:r>
      <w:r>
        <w:t>rkveld. De technieken worden ingezet om monsters te analyseren afkomstig uit verschillende omgevingen en/of organismen.</w:t>
      </w:r>
    </w:p>
    <w:p w14:paraId="7609D3DF" w14:textId="77777777" w:rsidR="002C5A61" w:rsidRDefault="002C5A61">
      <w:pPr>
        <w:pStyle w:val="Plattetekst"/>
        <w:rPr>
          <w:sz w:val="20"/>
        </w:rPr>
      </w:pPr>
    </w:p>
    <w:p w14:paraId="7609D3E0" w14:textId="77777777" w:rsidR="002C5A61" w:rsidRDefault="00EC56D9">
      <w:pPr>
        <w:pStyle w:val="Plattetekst"/>
        <w:spacing w:before="9"/>
        <w:rPr>
          <w:sz w:val="26"/>
        </w:rPr>
      </w:pPr>
      <w:r>
        <w:rPr>
          <w:noProof/>
        </w:rPr>
        <w:drawing>
          <wp:inline distT="0" distB="0" distL="0" distR="0" wp14:anchorId="7609D469" wp14:editId="2589B122">
            <wp:extent cx="4245460" cy="2837688"/>
            <wp:effectExtent l="0" t="0" r="3175" b="1270"/>
            <wp:docPr id="9" name="image5.png" descr="Toepassingsgebieden L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Toepassingsgebieden LCAB"/>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5460" cy="2837688"/>
                    </a:xfrm>
                    <a:prstGeom prst="rect">
                      <a:avLst/>
                    </a:prstGeom>
                  </pic:spPr>
                </pic:pic>
              </a:graphicData>
            </a:graphic>
          </wp:inline>
        </w:drawing>
      </w:r>
    </w:p>
    <w:p w14:paraId="7609D3E1" w14:textId="77777777" w:rsidR="002C5A61" w:rsidRDefault="00EC56D9">
      <w:pPr>
        <w:spacing w:before="152"/>
        <w:ind w:left="2588" w:right="2486"/>
        <w:jc w:val="center"/>
      </w:pPr>
      <w:r>
        <w:rPr>
          <w:b/>
        </w:rPr>
        <w:t xml:space="preserve">Figuur 2. </w:t>
      </w:r>
      <w:r>
        <w:t>De toepassingsgebieden van het LCAB.</w:t>
      </w:r>
    </w:p>
    <w:p w14:paraId="7609D3E2" w14:textId="77777777" w:rsidR="002C5A61" w:rsidRDefault="002C5A61">
      <w:pPr>
        <w:jc w:val="center"/>
        <w:sectPr w:rsidR="002C5A61">
          <w:pgSz w:w="11910" w:h="16840"/>
          <w:pgMar w:top="940" w:right="1300" w:bottom="1000" w:left="1200" w:header="699" w:footer="810" w:gutter="0"/>
          <w:cols w:space="708"/>
        </w:sectPr>
      </w:pPr>
    </w:p>
    <w:p w14:paraId="7609D3E3" w14:textId="77777777" w:rsidR="002C5A61" w:rsidRDefault="002C5A61">
      <w:pPr>
        <w:pStyle w:val="Plattetekst"/>
        <w:rPr>
          <w:sz w:val="20"/>
        </w:rPr>
      </w:pPr>
    </w:p>
    <w:p w14:paraId="7609D3E4" w14:textId="77777777" w:rsidR="002C5A61" w:rsidRDefault="002C5A61">
      <w:pPr>
        <w:pStyle w:val="Plattetekst"/>
        <w:spacing w:before="4"/>
        <w:rPr>
          <w:sz w:val="17"/>
        </w:rPr>
      </w:pPr>
    </w:p>
    <w:p w14:paraId="7609D3E5" w14:textId="77777777" w:rsidR="002C5A61" w:rsidRDefault="00EC56D9">
      <w:pPr>
        <w:pStyle w:val="Kop1"/>
      </w:pPr>
      <w:r>
        <w:t>Personeel</w:t>
      </w:r>
    </w:p>
    <w:p w14:paraId="7609D3E6" w14:textId="77777777" w:rsidR="002C5A61" w:rsidRDefault="00EC56D9">
      <w:pPr>
        <w:pStyle w:val="Plattetekst"/>
        <w:spacing w:before="183"/>
        <w:ind w:left="216"/>
      </w:pPr>
      <w:r>
        <w:t>Zoals eerder genoemd telt het LCAB vier lectoraten en ee</w:t>
      </w:r>
      <w:r>
        <w:t>n vakgroep.</w:t>
      </w:r>
    </w:p>
    <w:p w14:paraId="7609D3E7" w14:textId="77777777" w:rsidR="002C5A61" w:rsidRDefault="00EC56D9">
      <w:pPr>
        <w:pStyle w:val="Plattetekst"/>
        <w:spacing w:before="10"/>
        <w:rPr>
          <w:sz w:val="14"/>
        </w:rPr>
      </w:pPr>
      <w:r>
        <w:rPr>
          <w:noProof/>
        </w:rPr>
        <w:drawing>
          <wp:inline distT="0" distB="0" distL="0" distR="0" wp14:anchorId="7609D46B" wp14:editId="56852DB6">
            <wp:extent cx="3688141" cy="2404872"/>
            <wp:effectExtent l="0" t="0" r="7620" b="0"/>
            <wp:docPr id="11" name="image6.png" descr="Lectoraten L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Lectoraten LCAB"/>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8141" cy="2404872"/>
                    </a:xfrm>
                    <a:prstGeom prst="rect">
                      <a:avLst/>
                    </a:prstGeom>
                  </pic:spPr>
                </pic:pic>
              </a:graphicData>
            </a:graphic>
          </wp:inline>
        </w:drawing>
      </w:r>
    </w:p>
    <w:p w14:paraId="7609D3E8" w14:textId="77777777" w:rsidR="002C5A61" w:rsidRDefault="00EC56D9">
      <w:pPr>
        <w:spacing w:before="196"/>
        <w:ind w:left="2582" w:right="2486"/>
        <w:jc w:val="center"/>
      </w:pPr>
      <w:r>
        <w:rPr>
          <w:b/>
        </w:rPr>
        <w:t xml:space="preserve">Figuur 3. </w:t>
      </w:r>
      <w:r>
        <w:t>De Lectoraten van het LCAB.</w:t>
      </w:r>
    </w:p>
    <w:p w14:paraId="7609D3E9" w14:textId="77777777" w:rsidR="002C5A61" w:rsidRDefault="00EC56D9">
      <w:pPr>
        <w:pStyle w:val="Plattetekst"/>
        <w:spacing w:before="183" w:line="259" w:lineRule="auto"/>
        <w:ind w:left="216" w:right="191"/>
      </w:pPr>
      <w:r>
        <w:t>De Lectoren worden bij de uitvoering van hun taken en projecten ondersteund door een vaste staf van functionarissen waaronder een programmamanager, twee projectmanagers, een kwaliteitszorgcoördinator onderzoek, een office manager en een hoofd laboratorium.</w:t>
      </w:r>
      <w:r>
        <w:t xml:space="preserve"> De laboratoria op het LCAB zijn onderverdeeld in een droog lab (bio-informatica lab) en vijf natte labs (het Algemeen Laboratorium, het Pre-PCR laboratorium, PCR laboratorium, Culturomics en Biofysisch laboratorium). Om de continuïteit van de onderzoekswe</w:t>
      </w:r>
      <w:r>
        <w:t>rkzaamheden op deze laboratoria te borgen zijn vaste analisten nodig met de juiste specialisatie. Inmiddels zijn drie analisten aangesteld (een moleculair biologisch analist, een data-analist bioinformatica en een chemisch analist (metabolomics). Recent is</w:t>
      </w:r>
      <w:r>
        <w:t xml:space="preserve"> door het management besloten dat twee analisten microbiologie (culturomics) geworven zullen worden.</w:t>
      </w:r>
    </w:p>
    <w:p w14:paraId="7609D3EA" w14:textId="77777777" w:rsidR="002C5A61" w:rsidRDefault="00EC56D9">
      <w:pPr>
        <w:pStyle w:val="Plattetekst"/>
        <w:spacing w:before="157" w:line="259" w:lineRule="auto"/>
        <w:ind w:left="216" w:right="415"/>
      </w:pPr>
      <w:r>
        <w:t>Het LCAB realiseert haar doelen langs drie wegen: te kenmerken als 1) Samenwerking, 2) In-house Labfaciliteiten en 3) Projecten. Hieronder volgt een kort o</w:t>
      </w:r>
      <w:r>
        <w:t>verzicht van de activiteiten op die drie wegen in 2018.</w:t>
      </w:r>
    </w:p>
    <w:p w14:paraId="7609D3EB" w14:textId="77777777" w:rsidR="002C5A61" w:rsidRDefault="00EC56D9">
      <w:pPr>
        <w:pStyle w:val="Kop1"/>
        <w:numPr>
          <w:ilvl w:val="0"/>
          <w:numId w:val="2"/>
        </w:numPr>
        <w:tabs>
          <w:tab w:val="left" w:pos="936"/>
          <w:tab w:val="left" w:pos="937"/>
        </w:tabs>
        <w:spacing w:before="160"/>
        <w:ind w:hanging="721"/>
      </w:pPr>
      <w:r>
        <w:rPr>
          <w:u w:val="single"/>
        </w:rPr>
        <w:t>Samenwerking.</w:t>
      </w:r>
    </w:p>
    <w:p w14:paraId="7609D3EC" w14:textId="77777777" w:rsidR="002C5A61" w:rsidRDefault="00EC56D9">
      <w:pPr>
        <w:pStyle w:val="Lijstalinea"/>
        <w:numPr>
          <w:ilvl w:val="1"/>
          <w:numId w:val="2"/>
        </w:numPr>
        <w:tabs>
          <w:tab w:val="left" w:pos="936"/>
          <w:tab w:val="left" w:pos="937"/>
        </w:tabs>
        <w:spacing w:before="22"/>
        <w:ind w:hanging="361"/>
        <w:rPr>
          <w:i/>
        </w:rPr>
      </w:pPr>
      <w:r>
        <w:rPr>
          <w:i/>
        </w:rPr>
        <w:t>Samenwerking in het kader van</w:t>
      </w:r>
      <w:r>
        <w:rPr>
          <w:i/>
          <w:spacing w:val="-3"/>
        </w:rPr>
        <w:t xml:space="preserve"> </w:t>
      </w:r>
      <w:r>
        <w:rPr>
          <w:i/>
        </w:rPr>
        <w:t>projecten.</w:t>
      </w:r>
    </w:p>
    <w:p w14:paraId="7609D3ED" w14:textId="77777777" w:rsidR="002C5A61" w:rsidRDefault="00EC56D9">
      <w:pPr>
        <w:pStyle w:val="Plattetekst"/>
        <w:spacing w:before="19" w:line="259" w:lineRule="auto"/>
        <w:ind w:left="216" w:right="130"/>
      </w:pPr>
      <w:r>
        <w:t xml:space="preserve">Op dit moment lopen binnen het LCAB 17 verschillende onderzoeksprojecten (zie bij 3) waarin wordt samengewerkt met een groot aantal partijen uit </w:t>
      </w:r>
      <w:r>
        <w:t>verschillende sectoren. Bij een recente telling van de instellingen en bedrijven waarmee in deze projecten wordt samengewerkt, kwamen we uit op zo’n 80 organisaties waarmee wordt</w:t>
      </w:r>
      <w:r>
        <w:rPr>
          <w:spacing w:val="-5"/>
        </w:rPr>
        <w:t xml:space="preserve"> </w:t>
      </w:r>
      <w:r>
        <w:t>samengewerkt.</w:t>
      </w:r>
    </w:p>
    <w:p w14:paraId="7609D3EE" w14:textId="77777777" w:rsidR="002C5A61" w:rsidRDefault="002C5A61">
      <w:pPr>
        <w:pStyle w:val="Plattetekst"/>
        <w:spacing w:before="9"/>
        <w:rPr>
          <w:sz w:val="23"/>
        </w:rPr>
      </w:pPr>
    </w:p>
    <w:p w14:paraId="7609D3EF" w14:textId="77777777" w:rsidR="002C5A61" w:rsidRDefault="00EC56D9">
      <w:pPr>
        <w:pStyle w:val="Lijstalinea"/>
        <w:numPr>
          <w:ilvl w:val="1"/>
          <w:numId w:val="2"/>
        </w:numPr>
        <w:tabs>
          <w:tab w:val="left" w:pos="936"/>
          <w:tab w:val="left" w:pos="937"/>
        </w:tabs>
        <w:ind w:hanging="361"/>
        <w:rPr>
          <w:i/>
        </w:rPr>
      </w:pPr>
      <w:r>
        <w:rPr>
          <w:i/>
        </w:rPr>
        <w:t>Samenwerking met het</w:t>
      </w:r>
      <w:r>
        <w:rPr>
          <w:i/>
          <w:spacing w:val="-1"/>
        </w:rPr>
        <w:t xml:space="preserve"> </w:t>
      </w:r>
      <w:r>
        <w:rPr>
          <w:i/>
        </w:rPr>
        <w:t>onderwijs.</w:t>
      </w:r>
    </w:p>
    <w:p w14:paraId="7609D3F0" w14:textId="77777777" w:rsidR="002C5A61" w:rsidRDefault="00EC56D9">
      <w:pPr>
        <w:pStyle w:val="Plattetekst"/>
        <w:spacing w:before="23" w:line="259" w:lineRule="auto"/>
        <w:ind w:left="216" w:right="115"/>
      </w:pPr>
      <w:r>
        <w:t>Het onderzoek staat voortdurend in verbinding met het onderwijs van – primair - de Applied Sciences opleidingen bij Hogeschool Leiden (Biologie en Medisch Laboratoriumonderzoek, Chemie, Bio- informatica en het Middelbaar Laboratorium Onderwijs in de richti</w:t>
      </w:r>
      <w:r>
        <w:t>ngen Biotechnologie en Microbiologie). Studenten doen vanuit diverse onderwijsonderdelen praktijkervaring op door te participeren in een onderzoeksproject (dit gebeurd in de vorm van afstudeer-, minor-, en honours stages). Op dit moment lopen zo’n 15 stude</w:t>
      </w:r>
      <w:r>
        <w:t>nten een stage bij een van onderzoeksprojecten in het</w:t>
      </w:r>
    </w:p>
    <w:p w14:paraId="7609D3F1" w14:textId="77777777" w:rsidR="002C5A61" w:rsidRDefault="002C5A61">
      <w:pPr>
        <w:spacing w:line="259" w:lineRule="auto"/>
        <w:sectPr w:rsidR="002C5A61">
          <w:pgSz w:w="11910" w:h="16840"/>
          <w:pgMar w:top="940" w:right="1300" w:bottom="1000" w:left="1200" w:header="699" w:footer="810" w:gutter="0"/>
          <w:cols w:space="708"/>
        </w:sectPr>
      </w:pPr>
    </w:p>
    <w:p w14:paraId="7609D3F2" w14:textId="77777777" w:rsidR="002C5A61" w:rsidRDefault="002C5A61">
      <w:pPr>
        <w:pStyle w:val="Plattetekst"/>
        <w:rPr>
          <w:sz w:val="20"/>
        </w:rPr>
      </w:pPr>
    </w:p>
    <w:p w14:paraId="7609D3F3" w14:textId="77777777" w:rsidR="002C5A61" w:rsidRDefault="002C5A61">
      <w:pPr>
        <w:pStyle w:val="Plattetekst"/>
        <w:spacing w:before="4"/>
        <w:rPr>
          <w:sz w:val="17"/>
        </w:rPr>
      </w:pPr>
    </w:p>
    <w:p w14:paraId="7609D3F4" w14:textId="77777777" w:rsidR="002C5A61" w:rsidRDefault="00EC56D9">
      <w:pPr>
        <w:pStyle w:val="Plattetekst"/>
        <w:spacing w:line="259" w:lineRule="auto"/>
        <w:ind w:left="216" w:right="197"/>
      </w:pPr>
      <w:r>
        <w:t>LCAB, in het de eerste helft van 2018 heeft ongeveer eenzelfde aantal studenten een stage afgerond bij het LCAB.</w:t>
      </w:r>
    </w:p>
    <w:p w14:paraId="7609D3F5" w14:textId="77777777" w:rsidR="002C5A61" w:rsidRDefault="00EC56D9">
      <w:pPr>
        <w:pStyle w:val="Plattetekst"/>
        <w:spacing w:before="1" w:line="259" w:lineRule="auto"/>
        <w:ind w:left="216" w:right="214"/>
      </w:pPr>
      <w:r>
        <w:t>Door participatie in onderzoek houden docenten hun kennis en competenties actueel, blijven op de hoogte van de nieuwste ontwikkelingen en werken voortdurend aan de kwaliteit van het vakmanschap ‘docent’. In 2018 zijn zo’n 12 docenten direct betrokken bij d</w:t>
      </w:r>
      <w:r>
        <w:t>e onderzoeksprojecten in het LCAB.</w:t>
      </w:r>
    </w:p>
    <w:p w14:paraId="7609D3F6" w14:textId="77777777" w:rsidR="002C5A61" w:rsidRDefault="002C5A61">
      <w:pPr>
        <w:pStyle w:val="Plattetekst"/>
        <w:spacing w:before="9"/>
        <w:rPr>
          <w:sz w:val="23"/>
        </w:rPr>
      </w:pPr>
    </w:p>
    <w:p w14:paraId="7609D3F7" w14:textId="77777777" w:rsidR="002C5A61" w:rsidRDefault="00EC56D9">
      <w:pPr>
        <w:pStyle w:val="Lijstalinea"/>
        <w:numPr>
          <w:ilvl w:val="1"/>
          <w:numId w:val="2"/>
        </w:numPr>
        <w:tabs>
          <w:tab w:val="left" w:pos="936"/>
          <w:tab w:val="left" w:pos="937"/>
        </w:tabs>
        <w:ind w:hanging="361"/>
        <w:rPr>
          <w:i/>
        </w:rPr>
      </w:pPr>
      <w:r>
        <w:rPr>
          <w:i/>
        </w:rPr>
        <w:t>Samenwerking tussen de</w:t>
      </w:r>
      <w:r>
        <w:rPr>
          <w:i/>
          <w:spacing w:val="-2"/>
        </w:rPr>
        <w:t xml:space="preserve"> </w:t>
      </w:r>
      <w:r>
        <w:rPr>
          <w:i/>
        </w:rPr>
        <w:t>lectoraten.</w:t>
      </w:r>
    </w:p>
    <w:p w14:paraId="7609D3F8" w14:textId="77777777" w:rsidR="002C5A61" w:rsidRDefault="00EC56D9">
      <w:pPr>
        <w:pStyle w:val="Plattetekst"/>
        <w:spacing w:before="20" w:line="259" w:lineRule="auto"/>
        <w:ind w:left="216" w:right="423"/>
      </w:pPr>
      <w:r>
        <w:t>De gedeelde onderzoeksfaciliteit heeft in 2018 duidelijk geleid tot meer samenwerking tussen de lectoren. Er zijn verschillende projecten gestart waarin twee of meer lectoraten particip</w:t>
      </w:r>
      <w:r>
        <w:t>eren en er wordt steeds meer samengewerkt bij de aanvraag van nieuwe projecten.</w:t>
      </w:r>
    </w:p>
    <w:p w14:paraId="7609D3F9" w14:textId="77777777" w:rsidR="002C5A61" w:rsidRDefault="002C5A61">
      <w:pPr>
        <w:pStyle w:val="Plattetekst"/>
        <w:spacing w:before="8"/>
        <w:rPr>
          <w:sz w:val="23"/>
        </w:rPr>
      </w:pPr>
    </w:p>
    <w:p w14:paraId="7609D3FA" w14:textId="77777777" w:rsidR="002C5A61" w:rsidRDefault="00EC56D9">
      <w:pPr>
        <w:pStyle w:val="Lijstalinea"/>
        <w:numPr>
          <w:ilvl w:val="1"/>
          <w:numId w:val="2"/>
        </w:numPr>
        <w:tabs>
          <w:tab w:val="left" w:pos="936"/>
          <w:tab w:val="left" w:pos="937"/>
        </w:tabs>
        <w:ind w:hanging="361"/>
        <w:rPr>
          <w:i/>
        </w:rPr>
      </w:pPr>
      <w:r>
        <w:rPr>
          <w:i/>
        </w:rPr>
        <w:t>Samenwerking met prefered</w:t>
      </w:r>
      <w:r>
        <w:rPr>
          <w:i/>
          <w:spacing w:val="-3"/>
        </w:rPr>
        <w:t xml:space="preserve"> </w:t>
      </w:r>
      <w:r>
        <w:rPr>
          <w:i/>
        </w:rPr>
        <w:t>partners.</w:t>
      </w:r>
    </w:p>
    <w:p w14:paraId="7609D3FB" w14:textId="77777777" w:rsidR="002C5A61" w:rsidRDefault="00EC56D9">
      <w:pPr>
        <w:pStyle w:val="Plattetekst"/>
        <w:spacing w:before="22" w:line="259" w:lineRule="auto"/>
        <w:ind w:left="216" w:right="160"/>
      </w:pPr>
      <w:r>
        <w:t xml:space="preserve">Tot 31 december 2017 was er vanuit het Centre of Expertise Generade een samenwerkingsovereenkomst tussen LUMC, UL, Naturalis, BaseClear en </w:t>
      </w:r>
      <w:r>
        <w:t>Hogeschool Leiden. Het CoE is door de inbedding binnen de Hogeschool strategisch gezien in belangrijke mate verduurzaamd. De samenwerking met de andere partners is gebaseerd op prefered partnership bij de uitvoering van projecten. In 2019 wordt dit naar ve</w:t>
      </w:r>
      <w:r>
        <w:t>rwachting opnieuw geformaliseerd middels een overeenkomst met deze prefered partners.</w:t>
      </w:r>
    </w:p>
    <w:p w14:paraId="7609D3FC" w14:textId="77777777" w:rsidR="002C5A61" w:rsidRDefault="002C5A61">
      <w:pPr>
        <w:pStyle w:val="Plattetekst"/>
        <w:spacing w:before="7"/>
        <w:rPr>
          <w:sz w:val="23"/>
        </w:rPr>
      </w:pPr>
    </w:p>
    <w:p w14:paraId="7609D3FD" w14:textId="77777777" w:rsidR="002C5A61" w:rsidRDefault="00EC56D9">
      <w:pPr>
        <w:pStyle w:val="Kop1"/>
        <w:numPr>
          <w:ilvl w:val="0"/>
          <w:numId w:val="2"/>
        </w:numPr>
        <w:tabs>
          <w:tab w:val="left" w:pos="936"/>
          <w:tab w:val="left" w:pos="937"/>
        </w:tabs>
        <w:spacing w:before="1"/>
        <w:ind w:hanging="721"/>
      </w:pPr>
      <w:r>
        <w:rPr>
          <w:u w:val="single"/>
        </w:rPr>
        <w:t>In-house</w:t>
      </w:r>
      <w:r>
        <w:rPr>
          <w:spacing w:val="-2"/>
          <w:u w:val="single"/>
        </w:rPr>
        <w:t xml:space="preserve"> </w:t>
      </w:r>
      <w:r>
        <w:rPr>
          <w:u w:val="single"/>
        </w:rPr>
        <w:t>Labfaciliteiten.</w:t>
      </w:r>
    </w:p>
    <w:p w14:paraId="7609D3FE" w14:textId="77777777" w:rsidR="002C5A61" w:rsidRDefault="00EC56D9">
      <w:pPr>
        <w:pStyle w:val="Plattetekst"/>
        <w:spacing w:before="22" w:line="259" w:lineRule="auto"/>
        <w:ind w:left="216" w:right="792"/>
      </w:pPr>
      <w:r>
        <w:t xml:space="preserve">In 2018 is de inrichting van het Metabolomics lab tot stand gekomen op dit moment wordt de apparatuur gevalideerd voor de metingen ten behoeve </w:t>
      </w:r>
      <w:r>
        <w:t>van recent gestarte projecten.</w:t>
      </w:r>
    </w:p>
    <w:p w14:paraId="7609D3FF" w14:textId="77777777" w:rsidR="002C5A61" w:rsidRDefault="00EC56D9">
      <w:pPr>
        <w:pStyle w:val="Plattetekst"/>
        <w:spacing w:line="259" w:lineRule="auto"/>
        <w:ind w:left="216" w:right="421"/>
      </w:pPr>
      <w:r>
        <w:t>In het kader van het RAAK-mkb project PoreLab is eind 2016 bij het IBL (Universiteit Leiden) een faciliteit ingericht speciaal bedoeld voor het uittesten van Nanopore sequencing met de MinION®. Deze activiteit is in 2018 over</w:t>
      </w:r>
      <w:r>
        <w:t>gebracht naar het LCAB, en biedt tal van mogelijkheden voor samenwerking met externe partijen op het gebied van toepassing van deze technologie.</w:t>
      </w:r>
    </w:p>
    <w:p w14:paraId="7609D400" w14:textId="77777777" w:rsidR="002C5A61" w:rsidRDefault="00EC56D9">
      <w:pPr>
        <w:pStyle w:val="Plattetekst"/>
        <w:spacing w:before="11"/>
        <w:rPr>
          <w:sz w:val="9"/>
        </w:rPr>
      </w:pPr>
      <w:r>
        <w:rPr>
          <w:noProof/>
        </w:rPr>
        <w:drawing>
          <wp:inline distT="0" distB="0" distL="0" distR="0" wp14:anchorId="7609D46D" wp14:editId="4E37943B">
            <wp:extent cx="1461135" cy="1367980"/>
            <wp:effectExtent l="0" t="0" r="5715" b="3810"/>
            <wp:docPr id="13" name="image7.jpeg" descr="MinION OXford Nano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MinION OXford Nanopo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1135" cy="1367980"/>
                    </a:xfrm>
                    <a:prstGeom prst="rect">
                      <a:avLst/>
                    </a:prstGeom>
                  </pic:spPr>
                </pic:pic>
              </a:graphicData>
            </a:graphic>
          </wp:inline>
        </w:drawing>
      </w:r>
    </w:p>
    <w:p w14:paraId="7609D401" w14:textId="77777777" w:rsidR="002C5A61" w:rsidRDefault="00EC56D9">
      <w:pPr>
        <w:spacing w:before="140"/>
        <w:ind w:left="2585" w:right="2486"/>
        <w:jc w:val="center"/>
      </w:pPr>
      <w:r>
        <w:rPr>
          <w:b/>
        </w:rPr>
        <w:t xml:space="preserve">Figuur 4: </w:t>
      </w:r>
      <w:r>
        <w:t>De MinION van Oxford Nanopore.</w:t>
      </w:r>
    </w:p>
    <w:p w14:paraId="7609D402" w14:textId="77777777" w:rsidR="002C5A61" w:rsidRDefault="00EC56D9">
      <w:pPr>
        <w:pStyle w:val="Kop1"/>
        <w:numPr>
          <w:ilvl w:val="0"/>
          <w:numId w:val="2"/>
        </w:numPr>
        <w:tabs>
          <w:tab w:val="left" w:pos="936"/>
          <w:tab w:val="left" w:pos="937"/>
        </w:tabs>
        <w:spacing w:before="182"/>
        <w:ind w:hanging="721"/>
      </w:pPr>
      <w:r>
        <w:rPr>
          <w:u w:val="single"/>
        </w:rPr>
        <w:t>Projecten.</w:t>
      </w:r>
    </w:p>
    <w:p w14:paraId="7609D403" w14:textId="77777777" w:rsidR="002C5A61" w:rsidRDefault="00EC56D9">
      <w:pPr>
        <w:pStyle w:val="Plattetekst"/>
        <w:spacing w:before="20" w:line="259" w:lineRule="auto"/>
        <w:ind w:left="216" w:right="169"/>
      </w:pPr>
      <w:r>
        <w:t>In het businessmodel van het LCAB is de verduurzaming vooral gewaarborgd door externe onderzoeksgelden (met name afkomstig van het Regie-orgaan Praktijkgericht onderzoek SIA). Er wordt gewerkt met een strategische project portfolio waarbij kleinere project</w:t>
      </w:r>
      <w:r>
        <w:t>subsidies (bijvoorbeeld KIEM-projecten) worden gebruikt voor het opbouwen van samenwerkingen met nieuwe partners. Bij een succesvol verloop van deze kleinere projecten wordt de samenwerking voortgezet in grotere langer durende projecten die op dit moment m</w:t>
      </w:r>
      <w:r>
        <w:t>et name gefinancierd worden van de zogenaamde RAAK-regelingen. De resultaten van de RAAK-projecten worden met behulp van valorisatie subsidies of met contract onderzoek verder verwaard en naar toepassing in de praktijk gebracht.</w:t>
      </w:r>
    </w:p>
    <w:p w14:paraId="7609D404" w14:textId="77777777" w:rsidR="002C5A61" w:rsidRDefault="002C5A61">
      <w:pPr>
        <w:spacing w:line="259" w:lineRule="auto"/>
        <w:sectPr w:rsidR="002C5A61">
          <w:pgSz w:w="11910" w:h="16840"/>
          <w:pgMar w:top="940" w:right="1300" w:bottom="1000" w:left="1200" w:header="699" w:footer="810" w:gutter="0"/>
          <w:cols w:space="708"/>
        </w:sectPr>
      </w:pPr>
    </w:p>
    <w:p w14:paraId="7609D405" w14:textId="77777777" w:rsidR="002C5A61" w:rsidRDefault="002C5A61">
      <w:pPr>
        <w:pStyle w:val="Plattetekst"/>
        <w:rPr>
          <w:sz w:val="20"/>
        </w:rPr>
      </w:pPr>
    </w:p>
    <w:p w14:paraId="7609D406" w14:textId="77777777" w:rsidR="002C5A61" w:rsidRDefault="002C5A61">
      <w:pPr>
        <w:pStyle w:val="Plattetekst"/>
        <w:spacing w:before="4"/>
        <w:rPr>
          <w:sz w:val="17"/>
        </w:rPr>
      </w:pPr>
    </w:p>
    <w:p w14:paraId="7609D407" w14:textId="77777777" w:rsidR="002C5A61" w:rsidRDefault="00EC56D9">
      <w:pPr>
        <w:pStyle w:val="Plattetekst"/>
        <w:spacing w:after="5" w:line="259" w:lineRule="auto"/>
        <w:ind w:left="216" w:right="127"/>
      </w:pPr>
      <w:r>
        <w:rPr>
          <w:b/>
        </w:rPr>
        <w:t>Tabel 1</w:t>
      </w:r>
      <w:r>
        <w:rPr>
          <w:b/>
        </w:rPr>
        <w:t xml:space="preserve">: </w:t>
      </w:r>
      <w:r>
        <w:t>Overzicht van lopende projecten en projecten in aanvraag (in cursief projecten die starten of zijn aangevraagd in 2018):</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2689"/>
      </w:tblGrid>
      <w:tr w:rsidR="002C5A61" w14:paraId="7609D40A" w14:textId="77777777">
        <w:trPr>
          <w:trHeight w:val="194"/>
        </w:trPr>
        <w:tc>
          <w:tcPr>
            <w:tcW w:w="6376" w:type="dxa"/>
          </w:tcPr>
          <w:p w14:paraId="7609D408" w14:textId="77777777" w:rsidR="002C5A61" w:rsidRDefault="00EC56D9">
            <w:pPr>
              <w:pStyle w:val="TableParagraph"/>
              <w:rPr>
                <w:b/>
                <w:sz w:val="16"/>
              </w:rPr>
            </w:pPr>
            <w:r>
              <w:rPr>
                <w:b/>
                <w:sz w:val="16"/>
              </w:rPr>
              <w:t>Project</w:t>
            </w:r>
          </w:p>
        </w:tc>
        <w:tc>
          <w:tcPr>
            <w:tcW w:w="2689" w:type="dxa"/>
          </w:tcPr>
          <w:p w14:paraId="7609D409" w14:textId="77777777" w:rsidR="002C5A61" w:rsidRDefault="00EC56D9">
            <w:pPr>
              <w:pStyle w:val="TableParagraph"/>
              <w:ind w:left="107"/>
              <w:rPr>
                <w:b/>
                <w:sz w:val="16"/>
              </w:rPr>
            </w:pPr>
            <w:r>
              <w:rPr>
                <w:b/>
                <w:sz w:val="16"/>
              </w:rPr>
              <w:t>Regeling</w:t>
            </w:r>
          </w:p>
        </w:tc>
      </w:tr>
      <w:tr w:rsidR="002C5A61" w14:paraId="7609D40D" w14:textId="77777777">
        <w:trPr>
          <w:trHeight w:val="196"/>
        </w:trPr>
        <w:tc>
          <w:tcPr>
            <w:tcW w:w="6376" w:type="dxa"/>
          </w:tcPr>
          <w:p w14:paraId="7609D40B" w14:textId="77777777" w:rsidR="002C5A61" w:rsidRDefault="00EC56D9">
            <w:pPr>
              <w:pStyle w:val="TableParagraph"/>
              <w:spacing w:before="1" w:line="175" w:lineRule="exact"/>
              <w:rPr>
                <w:sz w:val="16"/>
              </w:rPr>
            </w:pPr>
            <w:r>
              <w:rPr>
                <w:sz w:val="16"/>
              </w:rPr>
              <w:t>Hooikoorts: nie(t)s is te gek!</w:t>
            </w:r>
          </w:p>
        </w:tc>
        <w:tc>
          <w:tcPr>
            <w:tcW w:w="2689" w:type="dxa"/>
          </w:tcPr>
          <w:p w14:paraId="7609D40C" w14:textId="77777777" w:rsidR="002C5A61" w:rsidRDefault="00EC56D9">
            <w:pPr>
              <w:pStyle w:val="TableParagraph"/>
              <w:spacing w:before="1" w:line="175" w:lineRule="exact"/>
              <w:ind w:left="107"/>
              <w:rPr>
                <w:sz w:val="16"/>
              </w:rPr>
            </w:pPr>
            <w:r>
              <w:rPr>
                <w:sz w:val="16"/>
              </w:rPr>
              <w:t>RAAK Publiek</w:t>
            </w:r>
          </w:p>
        </w:tc>
      </w:tr>
      <w:tr w:rsidR="002C5A61" w14:paraId="7609D410" w14:textId="77777777">
        <w:trPr>
          <w:trHeight w:val="196"/>
        </w:trPr>
        <w:tc>
          <w:tcPr>
            <w:tcW w:w="6376" w:type="dxa"/>
          </w:tcPr>
          <w:p w14:paraId="7609D40E" w14:textId="77777777" w:rsidR="002C5A61" w:rsidRDefault="00EC56D9">
            <w:pPr>
              <w:pStyle w:val="TableParagraph"/>
              <w:spacing w:line="176" w:lineRule="exact"/>
              <w:rPr>
                <w:sz w:val="16"/>
              </w:rPr>
            </w:pPr>
            <w:r>
              <w:rPr>
                <w:sz w:val="16"/>
              </w:rPr>
              <w:t>Monitoring van trainingseffecten m.b.v. genexpressiepatronen</w:t>
            </w:r>
          </w:p>
        </w:tc>
        <w:tc>
          <w:tcPr>
            <w:tcW w:w="2689" w:type="dxa"/>
          </w:tcPr>
          <w:p w14:paraId="7609D40F" w14:textId="77777777" w:rsidR="002C5A61" w:rsidRDefault="00EC56D9">
            <w:pPr>
              <w:pStyle w:val="TableParagraph"/>
              <w:spacing w:line="176" w:lineRule="exact"/>
              <w:ind w:left="107"/>
              <w:rPr>
                <w:sz w:val="16"/>
              </w:rPr>
            </w:pPr>
            <w:r>
              <w:rPr>
                <w:sz w:val="16"/>
              </w:rPr>
              <w:t>RAAK Publiek</w:t>
            </w:r>
          </w:p>
        </w:tc>
      </w:tr>
      <w:tr w:rsidR="002C5A61" w14:paraId="7609D413" w14:textId="77777777">
        <w:trPr>
          <w:trHeight w:val="194"/>
        </w:trPr>
        <w:tc>
          <w:tcPr>
            <w:tcW w:w="6376" w:type="dxa"/>
          </w:tcPr>
          <w:p w14:paraId="7609D411" w14:textId="77777777" w:rsidR="002C5A61" w:rsidRDefault="00EC56D9">
            <w:pPr>
              <w:pStyle w:val="TableParagraph"/>
              <w:rPr>
                <w:sz w:val="16"/>
              </w:rPr>
            </w:pPr>
            <w:r>
              <w:rPr>
                <w:sz w:val="16"/>
              </w:rPr>
              <w:t>Sneldiagnostiek bij urineweginfecties in de eerstelijn.</w:t>
            </w:r>
          </w:p>
        </w:tc>
        <w:tc>
          <w:tcPr>
            <w:tcW w:w="2689" w:type="dxa"/>
          </w:tcPr>
          <w:p w14:paraId="7609D412" w14:textId="77777777" w:rsidR="002C5A61" w:rsidRDefault="00EC56D9">
            <w:pPr>
              <w:pStyle w:val="TableParagraph"/>
              <w:ind w:left="107"/>
              <w:rPr>
                <w:sz w:val="16"/>
              </w:rPr>
            </w:pPr>
            <w:r>
              <w:rPr>
                <w:sz w:val="16"/>
              </w:rPr>
              <w:t>RAAK Publiek</w:t>
            </w:r>
          </w:p>
        </w:tc>
      </w:tr>
      <w:tr w:rsidR="002C5A61" w14:paraId="7609D416" w14:textId="77777777">
        <w:trPr>
          <w:trHeight w:val="196"/>
        </w:trPr>
        <w:tc>
          <w:tcPr>
            <w:tcW w:w="6376" w:type="dxa"/>
          </w:tcPr>
          <w:p w14:paraId="7609D414" w14:textId="77777777" w:rsidR="002C5A61" w:rsidRDefault="00EC56D9">
            <w:pPr>
              <w:pStyle w:val="TableParagraph"/>
              <w:spacing w:line="176" w:lineRule="exact"/>
              <w:rPr>
                <w:sz w:val="16"/>
              </w:rPr>
            </w:pPr>
            <w:r>
              <w:rPr>
                <w:sz w:val="16"/>
              </w:rPr>
              <w:t>Porelab.</w:t>
            </w:r>
          </w:p>
        </w:tc>
        <w:tc>
          <w:tcPr>
            <w:tcW w:w="2689" w:type="dxa"/>
          </w:tcPr>
          <w:p w14:paraId="7609D415" w14:textId="77777777" w:rsidR="002C5A61" w:rsidRDefault="00EC56D9">
            <w:pPr>
              <w:pStyle w:val="TableParagraph"/>
              <w:spacing w:line="176" w:lineRule="exact"/>
              <w:ind w:left="107"/>
              <w:rPr>
                <w:sz w:val="16"/>
              </w:rPr>
            </w:pPr>
            <w:r>
              <w:rPr>
                <w:sz w:val="16"/>
              </w:rPr>
              <w:t>RAAK mkb</w:t>
            </w:r>
          </w:p>
        </w:tc>
      </w:tr>
      <w:tr w:rsidR="002C5A61" w14:paraId="7609D419" w14:textId="77777777">
        <w:trPr>
          <w:trHeight w:val="194"/>
        </w:trPr>
        <w:tc>
          <w:tcPr>
            <w:tcW w:w="6376" w:type="dxa"/>
          </w:tcPr>
          <w:p w14:paraId="7609D417" w14:textId="77777777" w:rsidR="002C5A61" w:rsidRDefault="00EC56D9">
            <w:pPr>
              <w:pStyle w:val="TableParagraph"/>
              <w:rPr>
                <w:sz w:val="16"/>
              </w:rPr>
            </w:pPr>
            <w:r>
              <w:rPr>
                <w:sz w:val="16"/>
              </w:rPr>
              <w:t>“With help of my little friends”: onderzoek naar darmklachten bij duursporters.</w:t>
            </w:r>
          </w:p>
        </w:tc>
        <w:tc>
          <w:tcPr>
            <w:tcW w:w="2689" w:type="dxa"/>
          </w:tcPr>
          <w:p w14:paraId="7609D418" w14:textId="77777777" w:rsidR="002C5A61" w:rsidRDefault="00EC56D9">
            <w:pPr>
              <w:pStyle w:val="TableParagraph"/>
              <w:ind w:left="107"/>
              <w:rPr>
                <w:sz w:val="16"/>
              </w:rPr>
            </w:pPr>
            <w:r>
              <w:rPr>
                <w:sz w:val="16"/>
              </w:rPr>
              <w:t>RAAK Publiek</w:t>
            </w:r>
          </w:p>
        </w:tc>
      </w:tr>
      <w:tr w:rsidR="002C5A61" w14:paraId="7609D41C" w14:textId="77777777">
        <w:trPr>
          <w:trHeight w:val="196"/>
        </w:trPr>
        <w:tc>
          <w:tcPr>
            <w:tcW w:w="6376" w:type="dxa"/>
          </w:tcPr>
          <w:p w14:paraId="7609D41A" w14:textId="77777777" w:rsidR="002C5A61" w:rsidRDefault="00EC56D9">
            <w:pPr>
              <w:pStyle w:val="TableParagraph"/>
              <w:spacing w:line="176" w:lineRule="exact"/>
              <w:rPr>
                <w:sz w:val="16"/>
              </w:rPr>
            </w:pPr>
            <w:r>
              <w:rPr>
                <w:sz w:val="16"/>
              </w:rPr>
              <w:t>Vanille uit de kas</w:t>
            </w:r>
          </w:p>
        </w:tc>
        <w:tc>
          <w:tcPr>
            <w:tcW w:w="2689" w:type="dxa"/>
          </w:tcPr>
          <w:p w14:paraId="7609D41B" w14:textId="77777777" w:rsidR="002C5A61" w:rsidRDefault="00EC56D9">
            <w:pPr>
              <w:pStyle w:val="TableParagraph"/>
              <w:spacing w:line="176" w:lineRule="exact"/>
              <w:ind w:left="107"/>
              <w:rPr>
                <w:sz w:val="16"/>
              </w:rPr>
            </w:pPr>
            <w:r>
              <w:rPr>
                <w:sz w:val="16"/>
              </w:rPr>
              <w:t>RAAK mkb</w:t>
            </w:r>
          </w:p>
        </w:tc>
      </w:tr>
      <w:tr w:rsidR="002C5A61" w14:paraId="7609D41F" w14:textId="77777777">
        <w:trPr>
          <w:trHeight w:val="194"/>
        </w:trPr>
        <w:tc>
          <w:tcPr>
            <w:tcW w:w="6376" w:type="dxa"/>
          </w:tcPr>
          <w:p w14:paraId="7609D41D" w14:textId="77777777" w:rsidR="002C5A61" w:rsidRDefault="00EC56D9">
            <w:pPr>
              <w:pStyle w:val="TableParagraph"/>
              <w:rPr>
                <w:sz w:val="16"/>
              </w:rPr>
            </w:pPr>
            <w:r>
              <w:rPr>
                <w:sz w:val="16"/>
              </w:rPr>
              <w:t>Virtual Labstore</w:t>
            </w:r>
          </w:p>
        </w:tc>
        <w:tc>
          <w:tcPr>
            <w:tcW w:w="2689" w:type="dxa"/>
          </w:tcPr>
          <w:p w14:paraId="7609D41E" w14:textId="77777777" w:rsidR="002C5A61" w:rsidRDefault="00EC56D9">
            <w:pPr>
              <w:pStyle w:val="TableParagraph"/>
              <w:ind w:left="107"/>
              <w:rPr>
                <w:sz w:val="16"/>
              </w:rPr>
            </w:pPr>
            <w:r>
              <w:rPr>
                <w:sz w:val="16"/>
              </w:rPr>
              <w:t>KIEM 21st century skills</w:t>
            </w:r>
          </w:p>
        </w:tc>
      </w:tr>
      <w:tr w:rsidR="002C5A61" w14:paraId="7609D422" w14:textId="77777777">
        <w:trPr>
          <w:trHeight w:val="196"/>
        </w:trPr>
        <w:tc>
          <w:tcPr>
            <w:tcW w:w="6376" w:type="dxa"/>
          </w:tcPr>
          <w:p w14:paraId="7609D420" w14:textId="77777777" w:rsidR="002C5A61" w:rsidRDefault="00EC56D9">
            <w:pPr>
              <w:pStyle w:val="TableParagraph"/>
              <w:spacing w:line="176" w:lineRule="exact"/>
              <w:rPr>
                <w:sz w:val="16"/>
              </w:rPr>
            </w:pPr>
            <w:r>
              <w:rPr>
                <w:sz w:val="16"/>
              </w:rPr>
              <w:t>Skills&amp;technology of the 21st century.</w:t>
            </w:r>
          </w:p>
        </w:tc>
        <w:tc>
          <w:tcPr>
            <w:tcW w:w="2689" w:type="dxa"/>
          </w:tcPr>
          <w:p w14:paraId="7609D421" w14:textId="77777777" w:rsidR="002C5A61" w:rsidRDefault="00EC56D9">
            <w:pPr>
              <w:pStyle w:val="TableParagraph"/>
              <w:spacing w:line="176" w:lineRule="exact"/>
              <w:ind w:left="107"/>
              <w:rPr>
                <w:sz w:val="16"/>
              </w:rPr>
            </w:pPr>
            <w:r>
              <w:rPr>
                <w:sz w:val="16"/>
              </w:rPr>
              <w:t>KIEM 21st century skills</w:t>
            </w:r>
          </w:p>
        </w:tc>
      </w:tr>
      <w:tr w:rsidR="002C5A61" w14:paraId="7609D425" w14:textId="77777777">
        <w:trPr>
          <w:trHeight w:val="193"/>
        </w:trPr>
        <w:tc>
          <w:tcPr>
            <w:tcW w:w="6376" w:type="dxa"/>
          </w:tcPr>
          <w:p w14:paraId="7609D423" w14:textId="77777777" w:rsidR="002C5A61" w:rsidRDefault="00EC56D9">
            <w:pPr>
              <w:pStyle w:val="TableParagraph"/>
              <w:rPr>
                <w:sz w:val="16"/>
              </w:rPr>
            </w:pPr>
            <w:r>
              <w:rPr>
                <w:sz w:val="16"/>
              </w:rPr>
              <w:t>DIY DNA Kit.</w:t>
            </w:r>
          </w:p>
        </w:tc>
        <w:tc>
          <w:tcPr>
            <w:tcW w:w="2689" w:type="dxa"/>
          </w:tcPr>
          <w:p w14:paraId="7609D424" w14:textId="77777777" w:rsidR="002C5A61" w:rsidRDefault="00EC56D9">
            <w:pPr>
              <w:pStyle w:val="TableParagraph"/>
              <w:ind w:left="107"/>
              <w:rPr>
                <w:sz w:val="16"/>
              </w:rPr>
            </w:pPr>
            <w:r>
              <w:rPr>
                <w:sz w:val="16"/>
              </w:rPr>
              <w:t>KIEM 21 century skills</w:t>
            </w:r>
          </w:p>
        </w:tc>
      </w:tr>
      <w:tr w:rsidR="002C5A61" w14:paraId="7609D428" w14:textId="77777777">
        <w:trPr>
          <w:trHeight w:val="196"/>
        </w:trPr>
        <w:tc>
          <w:tcPr>
            <w:tcW w:w="6376" w:type="dxa"/>
          </w:tcPr>
          <w:p w14:paraId="7609D426" w14:textId="77777777" w:rsidR="002C5A61" w:rsidRDefault="00EC56D9">
            <w:pPr>
              <w:pStyle w:val="TableParagraph"/>
              <w:spacing w:before="1" w:line="175" w:lineRule="exact"/>
              <w:rPr>
                <w:sz w:val="16"/>
              </w:rPr>
            </w:pPr>
            <w:r>
              <w:rPr>
                <w:sz w:val="16"/>
              </w:rPr>
              <w:t>SID Robot.</w:t>
            </w:r>
          </w:p>
        </w:tc>
        <w:tc>
          <w:tcPr>
            <w:tcW w:w="2689" w:type="dxa"/>
          </w:tcPr>
          <w:p w14:paraId="7609D427" w14:textId="77777777" w:rsidR="002C5A61" w:rsidRDefault="00EC56D9">
            <w:pPr>
              <w:pStyle w:val="TableParagraph"/>
              <w:spacing w:before="1" w:line="175" w:lineRule="exact"/>
              <w:ind w:left="107"/>
              <w:rPr>
                <w:sz w:val="16"/>
              </w:rPr>
            </w:pPr>
            <w:r>
              <w:rPr>
                <w:sz w:val="16"/>
              </w:rPr>
              <w:t>KIEM Smart Industry</w:t>
            </w:r>
          </w:p>
        </w:tc>
      </w:tr>
      <w:tr w:rsidR="002C5A61" w14:paraId="7609D42B" w14:textId="77777777">
        <w:trPr>
          <w:trHeight w:val="193"/>
        </w:trPr>
        <w:tc>
          <w:tcPr>
            <w:tcW w:w="6376" w:type="dxa"/>
          </w:tcPr>
          <w:p w14:paraId="7609D429" w14:textId="77777777" w:rsidR="002C5A61" w:rsidRDefault="00EC56D9">
            <w:pPr>
              <w:pStyle w:val="TableParagraph"/>
              <w:rPr>
                <w:sz w:val="16"/>
              </w:rPr>
            </w:pPr>
            <w:r>
              <w:rPr>
                <w:sz w:val="16"/>
              </w:rPr>
              <w:t>Meten&amp;detecteren.</w:t>
            </w:r>
          </w:p>
        </w:tc>
        <w:tc>
          <w:tcPr>
            <w:tcW w:w="2689" w:type="dxa"/>
          </w:tcPr>
          <w:p w14:paraId="7609D42A" w14:textId="77777777" w:rsidR="002C5A61" w:rsidRDefault="00EC56D9">
            <w:pPr>
              <w:pStyle w:val="TableParagraph"/>
              <w:ind w:left="107"/>
              <w:rPr>
                <w:sz w:val="16"/>
              </w:rPr>
            </w:pPr>
            <w:r>
              <w:rPr>
                <w:sz w:val="16"/>
              </w:rPr>
              <w:t>NWA startimpuls</w:t>
            </w:r>
          </w:p>
        </w:tc>
      </w:tr>
      <w:tr w:rsidR="002C5A61" w14:paraId="7609D42E" w14:textId="77777777">
        <w:trPr>
          <w:trHeight w:val="196"/>
        </w:trPr>
        <w:tc>
          <w:tcPr>
            <w:tcW w:w="6376" w:type="dxa"/>
          </w:tcPr>
          <w:p w14:paraId="7609D42C" w14:textId="77777777" w:rsidR="002C5A61" w:rsidRDefault="00EC56D9">
            <w:pPr>
              <w:pStyle w:val="TableParagraph"/>
              <w:spacing w:before="1" w:line="175" w:lineRule="exact"/>
              <w:rPr>
                <w:sz w:val="16"/>
              </w:rPr>
            </w:pPr>
            <w:r>
              <w:rPr>
                <w:sz w:val="16"/>
              </w:rPr>
              <w:t>Cofin. activiteiten Labs2Meet.</w:t>
            </w:r>
          </w:p>
        </w:tc>
        <w:tc>
          <w:tcPr>
            <w:tcW w:w="2689" w:type="dxa"/>
          </w:tcPr>
          <w:p w14:paraId="7609D42D" w14:textId="77777777" w:rsidR="002C5A61" w:rsidRDefault="00EC56D9">
            <w:pPr>
              <w:pStyle w:val="TableParagraph"/>
              <w:spacing w:before="1" w:line="175" w:lineRule="exact"/>
              <w:ind w:left="107"/>
              <w:rPr>
                <w:sz w:val="16"/>
              </w:rPr>
            </w:pPr>
            <w:r>
              <w:rPr>
                <w:sz w:val="16"/>
              </w:rPr>
              <w:t>cofinancieringsfonds Holland-Rijnland</w:t>
            </w:r>
          </w:p>
        </w:tc>
      </w:tr>
      <w:tr w:rsidR="002C5A61" w14:paraId="7609D431" w14:textId="77777777">
        <w:trPr>
          <w:trHeight w:val="196"/>
        </w:trPr>
        <w:tc>
          <w:tcPr>
            <w:tcW w:w="6376" w:type="dxa"/>
          </w:tcPr>
          <w:p w14:paraId="7609D42F" w14:textId="77777777" w:rsidR="002C5A61" w:rsidRDefault="00EC56D9">
            <w:pPr>
              <w:pStyle w:val="TableParagraph"/>
              <w:spacing w:line="176" w:lineRule="exact"/>
              <w:rPr>
                <w:sz w:val="16"/>
              </w:rPr>
            </w:pPr>
            <w:r>
              <w:rPr>
                <w:sz w:val="16"/>
              </w:rPr>
              <w:t>Gotta catch 'em all.</w:t>
            </w:r>
          </w:p>
        </w:tc>
        <w:tc>
          <w:tcPr>
            <w:tcW w:w="2689" w:type="dxa"/>
          </w:tcPr>
          <w:p w14:paraId="7609D430" w14:textId="77777777" w:rsidR="002C5A61" w:rsidRDefault="00EC56D9">
            <w:pPr>
              <w:pStyle w:val="TableParagraph"/>
              <w:spacing w:line="176" w:lineRule="exact"/>
              <w:ind w:left="107"/>
              <w:rPr>
                <w:sz w:val="16"/>
              </w:rPr>
            </w:pPr>
            <w:r>
              <w:rPr>
                <w:sz w:val="16"/>
              </w:rPr>
              <w:t>Innofest subsidie</w:t>
            </w:r>
          </w:p>
        </w:tc>
      </w:tr>
      <w:tr w:rsidR="002C5A61" w14:paraId="7609D434" w14:textId="77777777">
        <w:trPr>
          <w:trHeight w:val="194"/>
        </w:trPr>
        <w:tc>
          <w:tcPr>
            <w:tcW w:w="6376" w:type="dxa"/>
          </w:tcPr>
          <w:p w14:paraId="7609D432" w14:textId="77777777" w:rsidR="002C5A61" w:rsidRDefault="00EC56D9">
            <w:pPr>
              <w:pStyle w:val="TableParagraph"/>
              <w:rPr>
                <w:i/>
                <w:sz w:val="16"/>
              </w:rPr>
            </w:pPr>
            <w:r>
              <w:rPr>
                <w:i/>
                <w:sz w:val="16"/>
              </w:rPr>
              <w:t>Een geschikte bodem voor duurzame tulpenteelt.</w:t>
            </w:r>
          </w:p>
        </w:tc>
        <w:tc>
          <w:tcPr>
            <w:tcW w:w="2689" w:type="dxa"/>
          </w:tcPr>
          <w:p w14:paraId="7609D433" w14:textId="77777777" w:rsidR="002C5A61" w:rsidRDefault="00EC56D9">
            <w:pPr>
              <w:pStyle w:val="TableParagraph"/>
              <w:ind w:left="107"/>
              <w:rPr>
                <w:i/>
                <w:sz w:val="16"/>
              </w:rPr>
            </w:pPr>
            <w:r>
              <w:rPr>
                <w:i/>
                <w:sz w:val="16"/>
              </w:rPr>
              <w:t>RAAK mkb</w:t>
            </w:r>
          </w:p>
        </w:tc>
      </w:tr>
      <w:tr w:rsidR="002C5A61" w14:paraId="7609D437" w14:textId="77777777">
        <w:trPr>
          <w:trHeight w:val="196"/>
        </w:trPr>
        <w:tc>
          <w:tcPr>
            <w:tcW w:w="6376" w:type="dxa"/>
          </w:tcPr>
          <w:p w14:paraId="7609D435" w14:textId="77777777" w:rsidR="002C5A61" w:rsidRDefault="00EC56D9">
            <w:pPr>
              <w:pStyle w:val="TableParagraph"/>
              <w:spacing w:line="176" w:lineRule="exact"/>
              <w:rPr>
                <w:i/>
                <w:sz w:val="16"/>
              </w:rPr>
            </w:pPr>
            <w:r>
              <w:rPr>
                <w:i/>
                <w:sz w:val="16"/>
              </w:rPr>
              <w:t>Vingerafdruk2.0: Het meten van chemische patronen in vingerafdrukken.</w:t>
            </w:r>
          </w:p>
        </w:tc>
        <w:tc>
          <w:tcPr>
            <w:tcW w:w="2689" w:type="dxa"/>
          </w:tcPr>
          <w:p w14:paraId="7609D436" w14:textId="77777777" w:rsidR="002C5A61" w:rsidRDefault="00EC56D9">
            <w:pPr>
              <w:pStyle w:val="TableParagraph"/>
              <w:spacing w:line="176" w:lineRule="exact"/>
              <w:ind w:left="107"/>
              <w:rPr>
                <w:i/>
                <w:sz w:val="16"/>
              </w:rPr>
            </w:pPr>
            <w:r>
              <w:rPr>
                <w:i/>
                <w:sz w:val="16"/>
              </w:rPr>
              <w:t>KIEM hbo</w:t>
            </w:r>
          </w:p>
        </w:tc>
      </w:tr>
      <w:tr w:rsidR="002C5A61" w14:paraId="7609D43B" w14:textId="77777777">
        <w:trPr>
          <w:trHeight w:val="388"/>
        </w:trPr>
        <w:tc>
          <w:tcPr>
            <w:tcW w:w="6376" w:type="dxa"/>
            <w:tcBorders>
              <w:bottom w:val="single" w:sz="6" w:space="0" w:color="000000"/>
            </w:tcBorders>
          </w:tcPr>
          <w:p w14:paraId="7609D438" w14:textId="77777777" w:rsidR="002C5A61" w:rsidRDefault="00EC56D9">
            <w:pPr>
              <w:pStyle w:val="TableParagraph"/>
              <w:spacing w:line="194" w:lineRule="exact"/>
              <w:rPr>
                <w:i/>
                <w:sz w:val="16"/>
              </w:rPr>
            </w:pPr>
            <w:r>
              <w:rPr>
                <w:i/>
                <w:sz w:val="16"/>
              </w:rPr>
              <w:t>Liver-on-a-chip: Ontwikkeling van meetmethoden om biotransformatie van geneesmiddelen in</w:t>
            </w:r>
          </w:p>
          <w:p w14:paraId="7609D439" w14:textId="77777777" w:rsidR="002C5A61" w:rsidRDefault="00EC56D9">
            <w:pPr>
              <w:pStyle w:val="TableParagraph"/>
              <w:spacing w:line="175" w:lineRule="exact"/>
              <w:rPr>
                <w:i/>
                <w:sz w:val="16"/>
              </w:rPr>
            </w:pPr>
            <w:r>
              <w:rPr>
                <w:i/>
                <w:sz w:val="16"/>
              </w:rPr>
              <w:t>livers-on-chips te bepalen.</w:t>
            </w:r>
          </w:p>
        </w:tc>
        <w:tc>
          <w:tcPr>
            <w:tcW w:w="2689" w:type="dxa"/>
            <w:tcBorders>
              <w:bottom w:val="single" w:sz="6" w:space="0" w:color="000000"/>
            </w:tcBorders>
          </w:tcPr>
          <w:p w14:paraId="7609D43A" w14:textId="77777777" w:rsidR="002C5A61" w:rsidRDefault="00EC56D9">
            <w:pPr>
              <w:pStyle w:val="TableParagraph"/>
              <w:spacing w:line="194" w:lineRule="exact"/>
              <w:ind w:left="107"/>
              <w:rPr>
                <w:i/>
                <w:sz w:val="16"/>
              </w:rPr>
            </w:pPr>
            <w:r>
              <w:rPr>
                <w:i/>
                <w:sz w:val="16"/>
              </w:rPr>
              <w:t>KIEM hbo</w:t>
            </w:r>
          </w:p>
        </w:tc>
      </w:tr>
      <w:tr w:rsidR="002C5A61" w14:paraId="7609D43E" w14:textId="77777777">
        <w:trPr>
          <w:trHeight w:val="191"/>
        </w:trPr>
        <w:tc>
          <w:tcPr>
            <w:tcW w:w="6376" w:type="dxa"/>
            <w:tcBorders>
              <w:top w:val="single" w:sz="6" w:space="0" w:color="000000"/>
            </w:tcBorders>
          </w:tcPr>
          <w:p w14:paraId="7609D43C" w14:textId="77777777" w:rsidR="002C5A61" w:rsidRDefault="00EC56D9">
            <w:pPr>
              <w:pStyle w:val="TableParagraph"/>
              <w:spacing w:line="172" w:lineRule="exact"/>
              <w:rPr>
                <w:i/>
                <w:sz w:val="16"/>
              </w:rPr>
            </w:pPr>
            <w:r>
              <w:rPr>
                <w:i/>
                <w:sz w:val="16"/>
              </w:rPr>
              <w:t>Samenwerking op het gebied van nanopore sequencing</w:t>
            </w:r>
          </w:p>
        </w:tc>
        <w:tc>
          <w:tcPr>
            <w:tcW w:w="2689" w:type="dxa"/>
            <w:tcBorders>
              <w:top w:val="single" w:sz="6" w:space="0" w:color="000000"/>
            </w:tcBorders>
          </w:tcPr>
          <w:p w14:paraId="7609D43D" w14:textId="77777777" w:rsidR="002C5A61" w:rsidRDefault="00EC56D9">
            <w:pPr>
              <w:pStyle w:val="TableParagraph"/>
              <w:spacing w:line="172" w:lineRule="exact"/>
              <w:ind w:left="107"/>
              <w:rPr>
                <w:i/>
                <w:sz w:val="16"/>
              </w:rPr>
            </w:pPr>
            <w:r>
              <w:rPr>
                <w:i/>
                <w:sz w:val="16"/>
              </w:rPr>
              <w:t>Contract research</w:t>
            </w:r>
          </w:p>
        </w:tc>
      </w:tr>
    </w:tbl>
    <w:p w14:paraId="7609D43F" w14:textId="77777777" w:rsidR="002C5A61" w:rsidRDefault="002C5A61">
      <w:pPr>
        <w:pStyle w:val="Plattetekst"/>
        <w:spacing w:before="6"/>
        <w:rPr>
          <w:sz w:val="23"/>
        </w:rPr>
      </w:pPr>
    </w:p>
    <w:p w14:paraId="7609D440" w14:textId="77777777" w:rsidR="002C5A61" w:rsidRDefault="00EC56D9">
      <w:pPr>
        <w:pStyle w:val="Plattetekst"/>
        <w:spacing w:after="25"/>
        <w:ind w:left="216"/>
      </w:pPr>
      <w:r>
        <w:t>Projecten in aanvraag:</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2689"/>
      </w:tblGrid>
      <w:tr w:rsidR="002C5A61" w14:paraId="7609D443" w14:textId="77777777">
        <w:trPr>
          <w:trHeight w:val="193"/>
        </w:trPr>
        <w:tc>
          <w:tcPr>
            <w:tcW w:w="6376" w:type="dxa"/>
          </w:tcPr>
          <w:p w14:paraId="7609D441" w14:textId="77777777" w:rsidR="002C5A61" w:rsidRDefault="00EC56D9">
            <w:pPr>
              <w:pStyle w:val="TableParagraph"/>
              <w:rPr>
                <w:b/>
                <w:sz w:val="16"/>
              </w:rPr>
            </w:pPr>
            <w:r>
              <w:rPr>
                <w:b/>
                <w:sz w:val="16"/>
              </w:rPr>
              <w:t>Project</w:t>
            </w:r>
          </w:p>
        </w:tc>
        <w:tc>
          <w:tcPr>
            <w:tcW w:w="2689" w:type="dxa"/>
          </w:tcPr>
          <w:p w14:paraId="7609D442" w14:textId="77777777" w:rsidR="002C5A61" w:rsidRDefault="00EC56D9">
            <w:pPr>
              <w:pStyle w:val="TableParagraph"/>
              <w:ind w:left="107"/>
              <w:rPr>
                <w:b/>
                <w:sz w:val="16"/>
              </w:rPr>
            </w:pPr>
            <w:r>
              <w:rPr>
                <w:b/>
                <w:sz w:val="16"/>
              </w:rPr>
              <w:t>Regeling</w:t>
            </w:r>
          </w:p>
        </w:tc>
      </w:tr>
      <w:tr w:rsidR="002C5A61" w14:paraId="7609D446" w14:textId="77777777">
        <w:trPr>
          <w:trHeight w:val="196"/>
        </w:trPr>
        <w:tc>
          <w:tcPr>
            <w:tcW w:w="6376" w:type="dxa"/>
          </w:tcPr>
          <w:p w14:paraId="7609D444" w14:textId="77777777" w:rsidR="002C5A61" w:rsidRDefault="00EC56D9">
            <w:pPr>
              <w:pStyle w:val="TableParagraph"/>
              <w:spacing w:before="1" w:line="175" w:lineRule="exact"/>
              <w:rPr>
                <w:i/>
                <w:sz w:val="16"/>
              </w:rPr>
            </w:pPr>
            <w:r>
              <w:rPr>
                <w:i/>
                <w:sz w:val="16"/>
              </w:rPr>
              <w:t>eDNA en eMetabolomics: moleculaire foto's van het onderwaterleven.</w:t>
            </w:r>
          </w:p>
        </w:tc>
        <w:tc>
          <w:tcPr>
            <w:tcW w:w="2689" w:type="dxa"/>
          </w:tcPr>
          <w:p w14:paraId="7609D445" w14:textId="77777777" w:rsidR="002C5A61" w:rsidRDefault="00EC56D9">
            <w:pPr>
              <w:pStyle w:val="TableParagraph"/>
              <w:spacing w:before="1" w:line="175" w:lineRule="exact"/>
              <w:ind w:left="107"/>
              <w:rPr>
                <w:i/>
                <w:sz w:val="16"/>
              </w:rPr>
            </w:pPr>
            <w:r>
              <w:rPr>
                <w:i/>
                <w:sz w:val="16"/>
              </w:rPr>
              <w:t>RAAK publiek</w:t>
            </w:r>
          </w:p>
        </w:tc>
      </w:tr>
      <w:tr w:rsidR="002C5A61" w14:paraId="7609D449" w14:textId="77777777">
        <w:trPr>
          <w:trHeight w:val="193"/>
        </w:trPr>
        <w:tc>
          <w:tcPr>
            <w:tcW w:w="6376" w:type="dxa"/>
          </w:tcPr>
          <w:p w14:paraId="7609D447" w14:textId="77777777" w:rsidR="002C5A61" w:rsidRDefault="00EC56D9">
            <w:pPr>
              <w:pStyle w:val="TableParagraph"/>
              <w:rPr>
                <w:i/>
                <w:sz w:val="16"/>
              </w:rPr>
            </w:pPr>
            <w:r>
              <w:rPr>
                <w:i/>
                <w:sz w:val="16"/>
              </w:rPr>
              <w:t>Fusarium-screen: een kwantitatieve test voor de aanwezigheid van Fusarium in de Tulp</w:t>
            </w:r>
          </w:p>
        </w:tc>
        <w:tc>
          <w:tcPr>
            <w:tcW w:w="2689" w:type="dxa"/>
          </w:tcPr>
          <w:p w14:paraId="7609D448" w14:textId="77777777" w:rsidR="002C5A61" w:rsidRDefault="00EC56D9">
            <w:pPr>
              <w:pStyle w:val="TableParagraph"/>
              <w:ind w:left="107"/>
              <w:rPr>
                <w:i/>
                <w:sz w:val="16"/>
              </w:rPr>
            </w:pPr>
            <w:r>
              <w:rPr>
                <w:i/>
                <w:sz w:val="16"/>
              </w:rPr>
              <w:t>Take-off hbo</w:t>
            </w:r>
          </w:p>
        </w:tc>
      </w:tr>
      <w:tr w:rsidR="002C5A61" w14:paraId="7609D44C" w14:textId="77777777">
        <w:trPr>
          <w:trHeight w:val="196"/>
        </w:trPr>
        <w:tc>
          <w:tcPr>
            <w:tcW w:w="6376" w:type="dxa"/>
          </w:tcPr>
          <w:p w14:paraId="7609D44A" w14:textId="77777777" w:rsidR="002C5A61" w:rsidRDefault="00EC56D9">
            <w:pPr>
              <w:pStyle w:val="TableParagraph"/>
              <w:spacing w:before="1" w:line="175" w:lineRule="exact"/>
              <w:rPr>
                <w:i/>
                <w:sz w:val="16"/>
              </w:rPr>
            </w:pPr>
            <w:r>
              <w:rPr>
                <w:i/>
                <w:sz w:val="16"/>
              </w:rPr>
              <w:t>Deelname in 7 prevoorstellen</w:t>
            </w:r>
          </w:p>
        </w:tc>
        <w:tc>
          <w:tcPr>
            <w:tcW w:w="2689" w:type="dxa"/>
          </w:tcPr>
          <w:p w14:paraId="7609D44B" w14:textId="77777777" w:rsidR="002C5A61" w:rsidRDefault="00EC56D9">
            <w:pPr>
              <w:pStyle w:val="TableParagraph"/>
              <w:spacing w:before="1" w:line="175" w:lineRule="exact"/>
              <w:ind w:left="107"/>
              <w:rPr>
                <w:i/>
                <w:sz w:val="16"/>
              </w:rPr>
            </w:pPr>
            <w:r>
              <w:rPr>
                <w:i/>
                <w:sz w:val="16"/>
              </w:rPr>
              <w:t>NWA-ORC</w:t>
            </w:r>
          </w:p>
        </w:tc>
      </w:tr>
    </w:tbl>
    <w:p w14:paraId="7609D44D" w14:textId="77777777" w:rsidR="002C5A61" w:rsidRDefault="002C5A61">
      <w:pPr>
        <w:pStyle w:val="Plattetekst"/>
        <w:spacing w:before="2"/>
        <w:rPr>
          <w:sz w:val="30"/>
        </w:rPr>
      </w:pPr>
    </w:p>
    <w:p w14:paraId="7609D44E" w14:textId="77777777" w:rsidR="002C5A61" w:rsidRDefault="00EC56D9">
      <w:pPr>
        <w:pStyle w:val="Kop1"/>
      </w:pPr>
      <w:r>
        <w:t>Opvallende gegevens/ highlights 2018:</w:t>
      </w:r>
    </w:p>
    <w:p w14:paraId="7609D44F" w14:textId="77777777" w:rsidR="002C5A61" w:rsidRDefault="00EC56D9">
      <w:pPr>
        <w:pStyle w:val="Lijstalinea"/>
        <w:numPr>
          <w:ilvl w:val="1"/>
          <w:numId w:val="2"/>
        </w:numPr>
        <w:tabs>
          <w:tab w:val="left" w:pos="937"/>
        </w:tabs>
        <w:spacing w:before="181" w:line="259" w:lineRule="auto"/>
        <w:ind w:right="254"/>
        <w:jc w:val="both"/>
      </w:pPr>
      <w:r>
        <w:t>Door de verandering van de financieringswijze van de Centres of Expertise, waarbij het geld niet meer geoormerkt is voor de Centres zelf maar als profileringsbijdrage wordt bijgevoegd aan de lumpsum van de hogescholen, is de positie van de Centres</w:t>
      </w:r>
      <w:r>
        <w:rPr>
          <w:spacing w:val="-19"/>
        </w:rPr>
        <w:t xml:space="preserve"> </w:t>
      </w:r>
      <w:r>
        <w:t>verander</w:t>
      </w:r>
      <w:r>
        <w:t>d.</w:t>
      </w:r>
    </w:p>
    <w:p w14:paraId="7609D450" w14:textId="77777777" w:rsidR="002C5A61" w:rsidRDefault="00EC56D9">
      <w:pPr>
        <w:pStyle w:val="Lijstalinea"/>
        <w:numPr>
          <w:ilvl w:val="1"/>
          <w:numId w:val="2"/>
        </w:numPr>
        <w:tabs>
          <w:tab w:val="left" w:pos="936"/>
          <w:tab w:val="left" w:pos="937"/>
        </w:tabs>
        <w:spacing w:line="259" w:lineRule="auto"/>
        <w:ind w:right="400"/>
      </w:pPr>
      <w:r>
        <w:t>Ondanks dat er formeel nu geen sprake meer is van een PPS, is er materieel niettemin nog steeds sprake van intensieve publiek-private samenwerking, zowel tussen de voormalige consortiumpartners als op</w:t>
      </w:r>
      <w:r>
        <w:rPr>
          <w:spacing w:val="-6"/>
        </w:rPr>
        <w:t xml:space="preserve"> </w:t>
      </w:r>
      <w:r>
        <w:t>projectniveau.</w:t>
      </w:r>
    </w:p>
    <w:p w14:paraId="7609D451" w14:textId="77777777" w:rsidR="002C5A61" w:rsidRDefault="00EC56D9">
      <w:pPr>
        <w:pStyle w:val="Lijstalinea"/>
        <w:numPr>
          <w:ilvl w:val="1"/>
          <w:numId w:val="2"/>
        </w:numPr>
        <w:tabs>
          <w:tab w:val="left" w:pos="936"/>
          <w:tab w:val="left" w:pos="937"/>
        </w:tabs>
        <w:spacing w:line="259" w:lineRule="auto"/>
        <w:ind w:right="814"/>
      </w:pPr>
      <w:r>
        <w:t>Er zijn twee projecten waarin wordt s</w:t>
      </w:r>
      <w:r>
        <w:t>amengewerkt met andere door Holland Rijnland ondersteunde initiatieven:</w:t>
      </w:r>
    </w:p>
    <w:p w14:paraId="7609D452" w14:textId="77777777" w:rsidR="002C5A61" w:rsidRDefault="00EC56D9">
      <w:pPr>
        <w:pStyle w:val="Lijstalinea"/>
        <w:numPr>
          <w:ilvl w:val="0"/>
          <w:numId w:val="1"/>
        </w:numPr>
        <w:tabs>
          <w:tab w:val="left" w:pos="924"/>
          <w:tab w:val="left" w:pos="925"/>
        </w:tabs>
        <w:spacing w:line="259" w:lineRule="auto"/>
        <w:ind w:right="560"/>
      </w:pPr>
      <w:r>
        <w:t>Het KIEM 21 century skills project DIY DNA Kit waarin samen met het “</w:t>
      </w:r>
      <w:r>
        <w:rPr>
          <w:u w:val="single"/>
        </w:rPr>
        <w:t>technolab”</w:t>
      </w:r>
      <w:r>
        <w:t>, studenten en docenten uit het HBO, MBO en VO wordt gewerkt lesmateriaal voor lessen over DNA in het</w:t>
      </w:r>
      <w:r>
        <w:rPr>
          <w:spacing w:val="-5"/>
        </w:rPr>
        <w:t xml:space="preserve"> </w:t>
      </w:r>
      <w:r>
        <w:t>VO.</w:t>
      </w:r>
    </w:p>
    <w:p w14:paraId="7609D453" w14:textId="77777777" w:rsidR="002C5A61" w:rsidRDefault="00EC56D9">
      <w:pPr>
        <w:pStyle w:val="Lijstalinea"/>
        <w:numPr>
          <w:ilvl w:val="0"/>
          <w:numId w:val="1"/>
        </w:numPr>
        <w:tabs>
          <w:tab w:val="left" w:pos="924"/>
          <w:tab w:val="left" w:pos="925"/>
        </w:tabs>
        <w:spacing w:line="259" w:lineRule="auto"/>
        <w:ind w:right="310"/>
      </w:pPr>
      <w:r>
        <w:t>In de aanvraag voor het RAAK-mkb project eDNA en eMetabolomics: moleculaire foto's van het onderwaterleven, wordt een samenwerking met het</w:t>
      </w:r>
      <w:r>
        <w:rPr>
          <w:u w:val="single"/>
        </w:rPr>
        <w:t xml:space="preserve"> “Levend Lab”</w:t>
      </w:r>
      <w:r>
        <w:t xml:space="preserve"> nagestreefd. (deze aanvraag maakt een grote kans op</w:t>
      </w:r>
      <w:r>
        <w:rPr>
          <w:spacing w:val="-8"/>
        </w:rPr>
        <w:t xml:space="preserve"> </w:t>
      </w:r>
      <w:r>
        <w:t>toekenning).</w:t>
      </w:r>
    </w:p>
    <w:p w14:paraId="7609D454" w14:textId="77777777" w:rsidR="002C5A61" w:rsidRDefault="00EC56D9">
      <w:pPr>
        <w:pStyle w:val="Lijstalinea"/>
        <w:numPr>
          <w:ilvl w:val="1"/>
          <w:numId w:val="2"/>
        </w:numPr>
        <w:tabs>
          <w:tab w:val="left" w:pos="937"/>
        </w:tabs>
        <w:spacing w:line="259" w:lineRule="auto"/>
        <w:ind w:right="130"/>
        <w:jc w:val="both"/>
      </w:pPr>
      <w:r>
        <w:t>De Nationale Wetenschap Agenda (NWA) b</w:t>
      </w:r>
      <w:r>
        <w:t>iedt grote mogelijkheden voor de financiering van onderzoek bij het LCAB. Het LCAB neemt op dit moment deel aan 7 preproposals in het kader van de NWA-ORC call in</w:t>
      </w:r>
      <w:r>
        <w:rPr>
          <w:spacing w:val="-5"/>
        </w:rPr>
        <w:t xml:space="preserve"> </w:t>
      </w:r>
      <w:r>
        <w:t>2018.</w:t>
      </w:r>
    </w:p>
    <w:p w14:paraId="7609D455" w14:textId="77777777" w:rsidR="002C5A61" w:rsidRDefault="00EC56D9">
      <w:pPr>
        <w:pStyle w:val="Lijstalinea"/>
        <w:numPr>
          <w:ilvl w:val="1"/>
          <w:numId w:val="2"/>
        </w:numPr>
        <w:tabs>
          <w:tab w:val="left" w:pos="936"/>
          <w:tab w:val="left" w:pos="937"/>
        </w:tabs>
        <w:spacing w:line="259" w:lineRule="auto"/>
        <w:ind w:right="562"/>
      </w:pPr>
      <w:r>
        <w:t>In de recent ontwikkelde kwaliteitsagenda van het MLO speelt het LCAB een rol bij het o</w:t>
      </w:r>
      <w:r>
        <w:t>ntwikkelen van innovatieve onderwijsvormen om in te spelen op de behoeften van een diverse arbeidsmarkt met meer specifieke uitstroomvarianten voor de arbeidsmarkt of doorstroom naar niveau-4 of</w:t>
      </w:r>
      <w:r>
        <w:rPr>
          <w:spacing w:val="-3"/>
        </w:rPr>
        <w:t xml:space="preserve"> </w:t>
      </w:r>
      <w:r>
        <w:t>hbo.</w:t>
      </w:r>
    </w:p>
    <w:p w14:paraId="7609D456" w14:textId="77777777" w:rsidR="002C5A61" w:rsidRDefault="002C5A61">
      <w:pPr>
        <w:spacing w:line="259" w:lineRule="auto"/>
        <w:sectPr w:rsidR="002C5A61">
          <w:pgSz w:w="11910" w:h="16840"/>
          <w:pgMar w:top="940" w:right="1300" w:bottom="1000" w:left="1200" w:header="699" w:footer="810" w:gutter="0"/>
          <w:cols w:space="708"/>
        </w:sectPr>
      </w:pPr>
    </w:p>
    <w:p w14:paraId="7609D457" w14:textId="77777777" w:rsidR="002C5A61" w:rsidRDefault="002C5A61">
      <w:pPr>
        <w:pStyle w:val="Plattetekst"/>
        <w:rPr>
          <w:sz w:val="20"/>
        </w:rPr>
      </w:pPr>
    </w:p>
    <w:p w14:paraId="7609D458" w14:textId="77777777" w:rsidR="002C5A61" w:rsidRDefault="002C5A61">
      <w:pPr>
        <w:pStyle w:val="Plattetekst"/>
        <w:spacing w:before="4"/>
        <w:rPr>
          <w:sz w:val="17"/>
        </w:rPr>
      </w:pPr>
    </w:p>
    <w:p w14:paraId="7609D459" w14:textId="77777777" w:rsidR="002C5A61" w:rsidRDefault="00EC56D9">
      <w:pPr>
        <w:pStyle w:val="Kop1"/>
      </w:pPr>
      <w:r>
        <w:t>Plannen 2019:</w:t>
      </w:r>
    </w:p>
    <w:p w14:paraId="7609D45A" w14:textId="77777777" w:rsidR="002C5A61" w:rsidRDefault="00EC56D9">
      <w:pPr>
        <w:pStyle w:val="Lijstalinea"/>
        <w:numPr>
          <w:ilvl w:val="1"/>
          <w:numId w:val="2"/>
        </w:numPr>
        <w:tabs>
          <w:tab w:val="left" w:pos="936"/>
          <w:tab w:val="left" w:pos="937"/>
        </w:tabs>
        <w:spacing w:before="183" w:line="256" w:lineRule="auto"/>
        <w:ind w:right="355"/>
      </w:pPr>
      <w:r>
        <w:t>Begin 2019 zal het LCAB officieel worden geopend en gepresenteerd aan alle stakeholders. De voorbereidingen hiervoor zijn</w:t>
      </w:r>
      <w:r>
        <w:rPr>
          <w:spacing w:val="-4"/>
        </w:rPr>
        <w:t xml:space="preserve"> </w:t>
      </w:r>
      <w:r>
        <w:t>gestart.</w:t>
      </w:r>
    </w:p>
    <w:p w14:paraId="7609D45B" w14:textId="77777777" w:rsidR="002C5A61" w:rsidRDefault="00EC56D9">
      <w:pPr>
        <w:pStyle w:val="Lijstalinea"/>
        <w:numPr>
          <w:ilvl w:val="1"/>
          <w:numId w:val="2"/>
        </w:numPr>
        <w:tabs>
          <w:tab w:val="left" w:pos="936"/>
          <w:tab w:val="left" w:pos="937"/>
        </w:tabs>
        <w:spacing w:before="4" w:line="259" w:lineRule="auto"/>
        <w:ind w:right="965"/>
      </w:pPr>
      <w:r>
        <w:t>Er zijn plannen om een nieuw lectoraat op zetten dat zich specifiek zal richten op de toepassing van (DNA) sequencing</w:t>
      </w:r>
      <w:r>
        <w:rPr>
          <w:spacing w:val="-2"/>
        </w:rPr>
        <w:t xml:space="preserve"> </w:t>
      </w:r>
      <w:r>
        <w:t>technol</w:t>
      </w:r>
      <w:r>
        <w:t>ogieën.</w:t>
      </w:r>
    </w:p>
    <w:p w14:paraId="7609D45C" w14:textId="77777777" w:rsidR="002C5A61" w:rsidRDefault="00EC56D9">
      <w:pPr>
        <w:pStyle w:val="Lijstalinea"/>
        <w:numPr>
          <w:ilvl w:val="1"/>
          <w:numId w:val="2"/>
        </w:numPr>
        <w:tabs>
          <w:tab w:val="left" w:pos="936"/>
          <w:tab w:val="left" w:pos="937"/>
        </w:tabs>
        <w:spacing w:before="1" w:line="256" w:lineRule="auto"/>
        <w:ind w:right="228"/>
      </w:pPr>
      <w:r>
        <w:t>De in 2018 ingeslagen weg zal verder worden doorontwikkeld, waarbij de focus zal liggen op nieuwe financieringsbronnen en samenwerkingen (regionaal, nationaal en</w:t>
      </w:r>
      <w:r>
        <w:rPr>
          <w:spacing w:val="-21"/>
        </w:rPr>
        <w:t xml:space="preserve"> </w:t>
      </w:r>
      <w:r>
        <w:t>internationaal).</w:t>
      </w:r>
    </w:p>
    <w:p w14:paraId="7609D45D" w14:textId="77777777" w:rsidR="002C5A61" w:rsidRDefault="002C5A61">
      <w:pPr>
        <w:pStyle w:val="Plattetekst"/>
      </w:pPr>
    </w:p>
    <w:p w14:paraId="7609D45E" w14:textId="77777777" w:rsidR="002C5A61" w:rsidRDefault="00EC56D9">
      <w:pPr>
        <w:pStyle w:val="Kop1"/>
        <w:spacing w:before="184"/>
      </w:pPr>
      <w:r>
        <w:t>Inzet van middelen in het kader van de cofinancieringsbijdrage</w:t>
      </w:r>
    </w:p>
    <w:p w14:paraId="7609D45F" w14:textId="77777777" w:rsidR="002C5A61" w:rsidRDefault="00EC56D9">
      <w:pPr>
        <w:pStyle w:val="Plattetekst"/>
        <w:spacing w:before="183" w:line="259" w:lineRule="auto"/>
        <w:ind w:left="216" w:right="378"/>
      </w:pPr>
      <w:r>
        <w:t>Zoals beschreven in het voorstel wordt €25.000 per jaar ingezet voor personeel en €50.000 voor cofinanciering van de opzet van de faciliteit (materiële kosten). De bijdrage wordt ingezet voor h</w:t>
      </w:r>
      <w:r>
        <w:t>et programmamanagement rondom de verdere ontwikkeling van het LCAB en haar activiteiten en als aanvulling op de cofinanciering bij nieuwe projecten.</w:t>
      </w:r>
    </w:p>
    <w:p w14:paraId="7609D460" w14:textId="77777777" w:rsidR="002C5A61" w:rsidRDefault="00EC56D9">
      <w:pPr>
        <w:pStyle w:val="Plattetekst"/>
        <w:spacing w:before="160" w:line="259" w:lineRule="auto"/>
        <w:ind w:left="216" w:right="206"/>
      </w:pPr>
      <w:r>
        <w:t>Toelichting: De RAAK-mkb en de RAAK-publiek projecten die de kern vormen van de projectportfolio worden sle</w:t>
      </w:r>
      <w:r>
        <w:t>chts voor 50% gesubsidieerd, de andere 50% dient door de hogeschool en de andere deelnemende partners gecofinancierd te worden.</w:t>
      </w:r>
    </w:p>
    <w:p w14:paraId="7609D461" w14:textId="77777777" w:rsidR="002C5A61" w:rsidRDefault="00EC56D9">
      <w:pPr>
        <w:pStyle w:val="Plattetekst"/>
        <w:spacing w:before="157" w:line="259" w:lineRule="auto"/>
        <w:ind w:left="216" w:right="902"/>
        <w:jc w:val="both"/>
      </w:pPr>
      <w:r>
        <w:t>De totale realisatie van het LCAB in 2018 is nog niet bekend. In de aanvraag wordt een totale realisatie van €2,8 Miljoen genoem</w:t>
      </w:r>
      <w:r>
        <w:t>d over de duur van de projectperiode (2 jaar). De huidige inschatting is dat deze realisatie vrijwel zeker zal worden gehaald.</w:t>
      </w:r>
    </w:p>
    <w:sectPr w:rsidR="002C5A61">
      <w:pgSz w:w="11910" w:h="16840"/>
      <w:pgMar w:top="940" w:right="1300" w:bottom="1000" w:left="1200" w:header="699"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D475" w14:textId="77777777" w:rsidR="00EC56D9" w:rsidRDefault="00EC56D9">
      <w:r>
        <w:separator/>
      </w:r>
    </w:p>
  </w:endnote>
  <w:endnote w:type="continuationSeparator" w:id="0">
    <w:p w14:paraId="7609D477" w14:textId="77777777" w:rsidR="00EC56D9" w:rsidRDefault="00EC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D470" w14:textId="35BB9C83" w:rsidR="002C5A61" w:rsidRDefault="00EC56D9">
    <w:pPr>
      <w:pStyle w:val="Plattetekst"/>
      <w:spacing w:line="14" w:lineRule="auto"/>
      <w:rPr>
        <w:sz w:val="20"/>
      </w:rPr>
    </w:pPr>
    <w:r>
      <w:rPr>
        <w:noProof/>
      </w:rPr>
      <w:drawing>
        <wp:anchor distT="0" distB="0" distL="0" distR="0" simplePos="0" relativeHeight="251363328" behindDoc="1" locked="0" layoutInCell="1" allowOverlap="1" wp14:anchorId="7609D472" wp14:editId="64D3727A">
          <wp:simplePos x="0" y="0"/>
          <wp:positionH relativeFrom="page">
            <wp:posOffset>972906</wp:posOffset>
          </wp:positionH>
          <wp:positionV relativeFrom="page">
            <wp:posOffset>10050780</wp:posOffset>
          </wp:positionV>
          <wp:extent cx="419434" cy="9367"/>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419434" cy="9367"/>
                  </a:xfrm>
                  <a:prstGeom prst="rect">
                    <a:avLst/>
                  </a:prstGeom>
                </pic:spPr>
              </pic:pic>
            </a:graphicData>
          </a:graphic>
        </wp:anchor>
      </w:drawing>
    </w:r>
    <w:r>
      <w:rPr>
        <w:noProof/>
      </w:rPr>
      <mc:AlternateContent>
        <mc:Choice Requires="wps">
          <w:drawing>
            <wp:anchor distT="0" distB="0" distL="114300" distR="114300" simplePos="0" relativeHeight="251364352" behindDoc="1" locked="0" layoutInCell="1" allowOverlap="1" wp14:anchorId="7609D474" wp14:editId="45D5CA38">
              <wp:simplePos x="0" y="0"/>
              <wp:positionH relativeFrom="page">
                <wp:posOffset>1117600</wp:posOffset>
              </wp:positionH>
              <wp:positionV relativeFrom="page">
                <wp:posOffset>10076815</wp:posOffset>
              </wp:positionV>
              <wp:extent cx="1282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D476" w14:textId="77777777" w:rsidR="002C5A61" w:rsidRDefault="00EC56D9">
                          <w:pPr>
                            <w:spacing w:line="184" w:lineRule="exact"/>
                            <w:ind w:left="60"/>
                            <w:rPr>
                              <w:sz w:val="16"/>
                            </w:rPr>
                          </w:pPr>
                          <w:r>
                            <w:fldChar w:fldCharType="begin"/>
                          </w:r>
                          <w:r>
                            <w:rPr>
                              <w:color w:val="4470C4"/>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9D474" id="_x0000_t202" coordsize="21600,21600" o:spt="202" path="m,l,21600r21600,l21600,xe">
              <v:stroke joinstyle="miter"/>
              <v:path gradientshapeok="t" o:connecttype="rect"/>
            </v:shapetype>
            <v:shape id="Text Box 1" o:spid="_x0000_s1027" type="#_x0000_t202" style="position:absolute;margin-left:88pt;margin-top:793.45pt;width:10.1pt;height:10.05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" filled="f" stroked="f">
              <v:textbox inset="0,0,0,0">
                <w:txbxContent>
                  <w:p w14:paraId="7609D476" w14:textId="77777777" w:rsidR="002C5A61" w:rsidRDefault="00EC56D9">
                    <w:pPr>
                      <w:spacing w:line="184" w:lineRule="exact"/>
                      <w:ind w:left="60"/>
                      <w:rPr>
                        <w:sz w:val="16"/>
                      </w:rPr>
                    </w:pPr>
                    <w:r>
                      <w:fldChar w:fldCharType="begin"/>
                    </w:r>
                    <w:r>
                      <w:rPr>
                        <w:color w:val="4470C4"/>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D471" w14:textId="77777777" w:rsidR="00EC56D9" w:rsidRDefault="00EC56D9">
      <w:r>
        <w:separator/>
      </w:r>
    </w:p>
  </w:footnote>
  <w:footnote w:type="continuationSeparator" w:id="0">
    <w:p w14:paraId="7609D473" w14:textId="77777777" w:rsidR="00EC56D9" w:rsidRDefault="00EC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D46F" w14:textId="5910F619" w:rsidR="002C5A61" w:rsidRDefault="00EC56D9">
    <w:pPr>
      <w:pStyle w:val="Plattetekst"/>
      <w:spacing w:line="14" w:lineRule="auto"/>
      <w:rPr>
        <w:sz w:val="20"/>
      </w:rPr>
    </w:pPr>
    <w:r>
      <w:rPr>
        <w:noProof/>
      </w:rPr>
      <mc:AlternateContent>
        <mc:Choice Requires="wps">
          <w:drawing>
            <wp:anchor distT="0" distB="0" distL="114300" distR="114300" simplePos="0" relativeHeight="251362304" behindDoc="1" locked="0" layoutInCell="1" allowOverlap="1" wp14:anchorId="7609D471" wp14:editId="3C8BC4FD">
              <wp:simplePos x="0" y="0"/>
              <wp:positionH relativeFrom="page">
                <wp:posOffset>886460</wp:posOffset>
              </wp:positionH>
              <wp:positionV relativeFrom="page">
                <wp:posOffset>456565</wp:posOffset>
              </wp:positionV>
              <wp:extent cx="4754880"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D475" w14:textId="77777777" w:rsidR="002C5A61" w:rsidRDefault="00EC56D9">
                          <w:pPr>
                            <w:spacing w:line="184" w:lineRule="exact"/>
                            <w:ind w:left="20"/>
                            <w:rPr>
                              <w:sz w:val="16"/>
                            </w:rPr>
                          </w:pPr>
                          <w:r>
                            <w:rPr>
                              <w:sz w:val="16"/>
                            </w:rPr>
                            <w:t>Verslag van activiteiten in het kader van het project Labs2Meet, biomonitoring fieldlab in Holland Rijnland in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9D471" id="_x0000_t202" coordsize="21600,21600" o:spt="202" path="m,l,21600r21600,l21600,xe">
              <v:stroke joinstyle="miter"/>
              <v:path gradientshapeok="t" o:connecttype="rect"/>
            </v:shapetype>
            <v:shape id="Text Box 2" o:spid="_x0000_s1026" type="#_x0000_t202" style="position:absolute;margin-left:69.8pt;margin-top:35.95pt;width:374.4pt;height:10.05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" filled="f" stroked="f">
              <v:textbox inset="0,0,0,0">
                <w:txbxContent>
                  <w:p w14:paraId="7609D475" w14:textId="77777777" w:rsidR="002C5A61" w:rsidRDefault="00EC56D9">
                    <w:pPr>
                      <w:spacing w:line="184" w:lineRule="exact"/>
                      <w:ind w:left="20"/>
                      <w:rPr>
                        <w:sz w:val="16"/>
                      </w:rPr>
                    </w:pPr>
                    <w:r>
                      <w:rPr>
                        <w:sz w:val="16"/>
                      </w:rPr>
                      <w:t>Verslag van activiteiten in het kader van het project Labs2Meet, biomonitoring fieldlab in Holland Rijnland in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4E67"/>
    <w:multiLevelType w:val="hybridMultilevel"/>
    <w:tmpl w:val="35383168"/>
    <w:lvl w:ilvl="0" w:tplc="D94E0B00">
      <w:start w:val="1"/>
      <w:numFmt w:val="decimal"/>
      <w:lvlText w:val="%1)"/>
      <w:lvlJc w:val="left"/>
      <w:pPr>
        <w:ind w:left="936" w:hanging="720"/>
        <w:jc w:val="left"/>
      </w:pPr>
      <w:rPr>
        <w:rFonts w:ascii="Calibri" w:eastAsia="Calibri" w:hAnsi="Calibri" w:cs="Calibri" w:hint="default"/>
        <w:b/>
        <w:bCs/>
        <w:w w:val="100"/>
        <w:sz w:val="22"/>
        <w:szCs w:val="22"/>
        <w:lang w:val="nl-NL" w:eastAsia="nl-NL" w:bidi="nl-NL"/>
      </w:rPr>
    </w:lvl>
    <w:lvl w:ilvl="1" w:tplc="796CBD4A">
      <w:numFmt w:val="bullet"/>
      <w:lvlText w:val=""/>
      <w:lvlJc w:val="left"/>
      <w:pPr>
        <w:ind w:left="936" w:hanging="360"/>
      </w:pPr>
      <w:rPr>
        <w:rFonts w:ascii="Symbol" w:eastAsia="Symbol" w:hAnsi="Symbol" w:cs="Symbol" w:hint="default"/>
        <w:w w:val="100"/>
        <w:sz w:val="22"/>
        <w:szCs w:val="22"/>
        <w:lang w:val="nl-NL" w:eastAsia="nl-NL" w:bidi="nl-NL"/>
      </w:rPr>
    </w:lvl>
    <w:lvl w:ilvl="2" w:tplc="33F47E9E">
      <w:numFmt w:val="bullet"/>
      <w:lvlText w:val="•"/>
      <w:lvlJc w:val="left"/>
      <w:pPr>
        <w:ind w:left="2633" w:hanging="360"/>
      </w:pPr>
      <w:rPr>
        <w:rFonts w:hint="default"/>
        <w:lang w:val="nl-NL" w:eastAsia="nl-NL" w:bidi="nl-NL"/>
      </w:rPr>
    </w:lvl>
    <w:lvl w:ilvl="3" w:tplc="EFF425D8">
      <w:numFmt w:val="bullet"/>
      <w:lvlText w:val="•"/>
      <w:lvlJc w:val="left"/>
      <w:pPr>
        <w:ind w:left="3479" w:hanging="360"/>
      </w:pPr>
      <w:rPr>
        <w:rFonts w:hint="default"/>
        <w:lang w:val="nl-NL" w:eastAsia="nl-NL" w:bidi="nl-NL"/>
      </w:rPr>
    </w:lvl>
    <w:lvl w:ilvl="4" w:tplc="13CCCD6A">
      <w:numFmt w:val="bullet"/>
      <w:lvlText w:val="•"/>
      <w:lvlJc w:val="left"/>
      <w:pPr>
        <w:ind w:left="4326" w:hanging="360"/>
      </w:pPr>
      <w:rPr>
        <w:rFonts w:hint="default"/>
        <w:lang w:val="nl-NL" w:eastAsia="nl-NL" w:bidi="nl-NL"/>
      </w:rPr>
    </w:lvl>
    <w:lvl w:ilvl="5" w:tplc="FCB09F2A">
      <w:numFmt w:val="bullet"/>
      <w:lvlText w:val="•"/>
      <w:lvlJc w:val="left"/>
      <w:pPr>
        <w:ind w:left="5173" w:hanging="360"/>
      </w:pPr>
      <w:rPr>
        <w:rFonts w:hint="default"/>
        <w:lang w:val="nl-NL" w:eastAsia="nl-NL" w:bidi="nl-NL"/>
      </w:rPr>
    </w:lvl>
    <w:lvl w:ilvl="6" w:tplc="BBBEFEE0">
      <w:numFmt w:val="bullet"/>
      <w:lvlText w:val="•"/>
      <w:lvlJc w:val="left"/>
      <w:pPr>
        <w:ind w:left="6019" w:hanging="360"/>
      </w:pPr>
      <w:rPr>
        <w:rFonts w:hint="default"/>
        <w:lang w:val="nl-NL" w:eastAsia="nl-NL" w:bidi="nl-NL"/>
      </w:rPr>
    </w:lvl>
    <w:lvl w:ilvl="7" w:tplc="80B2A956">
      <w:numFmt w:val="bullet"/>
      <w:lvlText w:val="•"/>
      <w:lvlJc w:val="left"/>
      <w:pPr>
        <w:ind w:left="6866" w:hanging="360"/>
      </w:pPr>
      <w:rPr>
        <w:rFonts w:hint="default"/>
        <w:lang w:val="nl-NL" w:eastAsia="nl-NL" w:bidi="nl-NL"/>
      </w:rPr>
    </w:lvl>
    <w:lvl w:ilvl="8" w:tplc="BB74FFDE">
      <w:numFmt w:val="bullet"/>
      <w:lvlText w:val="•"/>
      <w:lvlJc w:val="left"/>
      <w:pPr>
        <w:ind w:left="7713" w:hanging="360"/>
      </w:pPr>
      <w:rPr>
        <w:rFonts w:hint="default"/>
        <w:lang w:val="nl-NL" w:eastAsia="nl-NL" w:bidi="nl-NL"/>
      </w:rPr>
    </w:lvl>
  </w:abstractNum>
  <w:abstractNum w:abstractNumId="1" w15:restartNumberingAfterBreak="0">
    <w:nsid w:val="720D2F3A"/>
    <w:multiLevelType w:val="hybridMultilevel"/>
    <w:tmpl w:val="1CD4611A"/>
    <w:lvl w:ilvl="0" w:tplc="8CF4DA1A">
      <w:start w:val="1"/>
      <w:numFmt w:val="decimal"/>
      <w:lvlText w:val="%1."/>
      <w:lvlJc w:val="left"/>
      <w:pPr>
        <w:ind w:left="924" w:hanging="425"/>
        <w:jc w:val="left"/>
      </w:pPr>
      <w:rPr>
        <w:rFonts w:ascii="Calibri" w:eastAsia="Calibri" w:hAnsi="Calibri" w:cs="Calibri" w:hint="default"/>
        <w:w w:val="100"/>
        <w:sz w:val="22"/>
        <w:szCs w:val="22"/>
        <w:lang w:val="nl-NL" w:eastAsia="nl-NL" w:bidi="nl-NL"/>
      </w:rPr>
    </w:lvl>
    <w:lvl w:ilvl="1" w:tplc="A51008E8">
      <w:numFmt w:val="bullet"/>
      <w:lvlText w:val="•"/>
      <w:lvlJc w:val="left"/>
      <w:pPr>
        <w:ind w:left="1768" w:hanging="425"/>
      </w:pPr>
      <w:rPr>
        <w:rFonts w:hint="default"/>
        <w:lang w:val="nl-NL" w:eastAsia="nl-NL" w:bidi="nl-NL"/>
      </w:rPr>
    </w:lvl>
    <w:lvl w:ilvl="2" w:tplc="19F2E2BA">
      <w:numFmt w:val="bullet"/>
      <w:lvlText w:val="•"/>
      <w:lvlJc w:val="left"/>
      <w:pPr>
        <w:ind w:left="2617" w:hanging="425"/>
      </w:pPr>
      <w:rPr>
        <w:rFonts w:hint="default"/>
        <w:lang w:val="nl-NL" w:eastAsia="nl-NL" w:bidi="nl-NL"/>
      </w:rPr>
    </w:lvl>
    <w:lvl w:ilvl="3" w:tplc="8236F832">
      <w:numFmt w:val="bullet"/>
      <w:lvlText w:val="•"/>
      <w:lvlJc w:val="left"/>
      <w:pPr>
        <w:ind w:left="3465" w:hanging="425"/>
      </w:pPr>
      <w:rPr>
        <w:rFonts w:hint="default"/>
        <w:lang w:val="nl-NL" w:eastAsia="nl-NL" w:bidi="nl-NL"/>
      </w:rPr>
    </w:lvl>
    <w:lvl w:ilvl="4" w:tplc="314EE802">
      <w:numFmt w:val="bullet"/>
      <w:lvlText w:val="•"/>
      <w:lvlJc w:val="left"/>
      <w:pPr>
        <w:ind w:left="4314" w:hanging="425"/>
      </w:pPr>
      <w:rPr>
        <w:rFonts w:hint="default"/>
        <w:lang w:val="nl-NL" w:eastAsia="nl-NL" w:bidi="nl-NL"/>
      </w:rPr>
    </w:lvl>
    <w:lvl w:ilvl="5" w:tplc="2B5EFC04">
      <w:numFmt w:val="bullet"/>
      <w:lvlText w:val="•"/>
      <w:lvlJc w:val="left"/>
      <w:pPr>
        <w:ind w:left="5163" w:hanging="425"/>
      </w:pPr>
      <w:rPr>
        <w:rFonts w:hint="default"/>
        <w:lang w:val="nl-NL" w:eastAsia="nl-NL" w:bidi="nl-NL"/>
      </w:rPr>
    </w:lvl>
    <w:lvl w:ilvl="6" w:tplc="E0D0184A">
      <w:numFmt w:val="bullet"/>
      <w:lvlText w:val="•"/>
      <w:lvlJc w:val="left"/>
      <w:pPr>
        <w:ind w:left="6011" w:hanging="425"/>
      </w:pPr>
      <w:rPr>
        <w:rFonts w:hint="default"/>
        <w:lang w:val="nl-NL" w:eastAsia="nl-NL" w:bidi="nl-NL"/>
      </w:rPr>
    </w:lvl>
    <w:lvl w:ilvl="7" w:tplc="2A64BC32">
      <w:numFmt w:val="bullet"/>
      <w:lvlText w:val="•"/>
      <w:lvlJc w:val="left"/>
      <w:pPr>
        <w:ind w:left="6860" w:hanging="425"/>
      </w:pPr>
      <w:rPr>
        <w:rFonts w:hint="default"/>
        <w:lang w:val="nl-NL" w:eastAsia="nl-NL" w:bidi="nl-NL"/>
      </w:rPr>
    </w:lvl>
    <w:lvl w:ilvl="8" w:tplc="6E2E726A">
      <w:numFmt w:val="bullet"/>
      <w:lvlText w:val="•"/>
      <w:lvlJc w:val="left"/>
      <w:pPr>
        <w:ind w:left="7709" w:hanging="425"/>
      </w:pPr>
      <w:rPr>
        <w:rFonts w:hint="default"/>
        <w:lang w:val="nl-NL" w:eastAsia="nl-NL" w:bidi="nl-NL"/>
      </w:rPr>
    </w:lvl>
  </w:abstractNum>
  <w:num w:numId="1" w16cid:durableId="612908866">
    <w:abstractNumId w:val="1"/>
  </w:num>
  <w:num w:numId="2" w16cid:durableId="111949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61"/>
    <w:rsid w:val="002C5A61"/>
    <w:rsid w:val="00EC5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09D3C7"/>
  <w15:docId w15:val="{A6CB63DA-2698-4293-8A22-789310F9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eastAsia="nl-NL" w:bidi="nl-NL"/>
    </w:rPr>
  </w:style>
  <w:style w:type="paragraph" w:styleId="Kop1">
    <w:name w:val="heading 1"/>
    <w:basedOn w:val="Standaard"/>
    <w:uiPriority w:val="9"/>
    <w:qFormat/>
    <w:pPr>
      <w:ind w:left="2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936" w:hanging="360"/>
    </w:pPr>
  </w:style>
  <w:style w:type="paragraph" w:customStyle="1" w:styleId="TableParagraph">
    <w:name w:val="Table Paragraph"/>
    <w:basedOn w:val="Standaard"/>
    <w:uiPriority w:val="1"/>
    <w:qFormat/>
    <w:pPr>
      <w:spacing w:line="174"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2019</Words>
  <Characters>11108</Characters>
  <Application>Microsoft Office Word</Application>
  <DocSecurity>0</DocSecurity>
  <Lines>92</Lines>
  <Paragraphs>26</Paragraphs>
  <ScaleCrop>false</ScaleCrop>
  <Company>Servicepunt 71</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Labs2Meet voortgangsrapportage cofinancieringsfonds 2018</dc:title>
  <dc:creator>Walter Zuijderduin</dc:creator>
  <cp:lastModifiedBy>Lovers, Rutger</cp:lastModifiedBy>
  <cp:revision>2</cp:revision>
  <dcterms:created xsi:type="dcterms:W3CDTF">2024-04-16T09:31:00Z</dcterms:created>
  <dcterms:modified xsi:type="dcterms:W3CDTF">2024-04-16T11:02:00Z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2010</vt:lpwstr>
  </property>
  <property fmtid="{D5CDD505-2E9C-101B-9397-08002B2CF9AE}" pid="4" name="LastSaved">
    <vt:filetime>2024-04-16T00:00:00Z</vt:filetime>
  </property>
</Properties>
</file>